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auto"/>
      </w:pPr>
    </w:p>
    <w:p>
      <w:pPr>
        <w:spacing w:line="380" w:lineRule="auto"/>
        <w:rPr>
          <w:rFonts w:ascii="Arial"/>
          <w:sz w:val="21"/>
        </w:rPr>
      </w:pPr>
      <w:r>
        <w:rPr>
          <w:rFonts w:ascii="仿宋" w:hAnsi="仿宋" w:eastAsia="仿宋" w:cs="仿宋"/>
          <w:spacing w:val="-9"/>
          <w:sz w:val="28"/>
          <w:szCs w:val="28"/>
        </w:rPr>
        <w:t>附</w:t>
      </w:r>
      <w:r>
        <w:rPr>
          <w:rFonts w:ascii="仿宋" w:hAnsi="仿宋" w:eastAsia="仿宋" w:cs="仿宋"/>
          <w:spacing w:val="-7"/>
          <w:sz w:val="28"/>
          <w:szCs w:val="28"/>
        </w:rPr>
        <w:t>件</w:t>
      </w:r>
      <w:r>
        <w:rPr>
          <w:rFonts w:ascii="Times New Roman" w:hAnsi="Times New Roman" w:eastAsia="Times New Roman" w:cs="Times New Roman"/>
          <w:spacing w:val="-7"/>
          <w:sz w:val="28"/>
          <w:szCs w:val="28"/>
        </w:rPr>
        <w:t>2</w:t>
      </w:r>
      <w:r>
        <w:rPr>
          <w:rFonts w:ascii="仿宋" w:hAnsi="仿宋" w:eastAsia="仿宋" w:cs="仿宋"/>
          <w:spacing w:val="-7"/>
          <w:sz w:val="28"/>
          <w:szCs w:val="28"/>
        </w:rPr>
        <w:t>：</w:t>
      </w:r>
    </w:p>
    <w:p>
      <w:pPr>
        <w:spacing w:line="248" w:lineRule="auto"/>
        <w:rPr>
          <w:rFonts w:ascii="Arial"/>
          <w:sz w:val="6"/>
          <w:szCs w:val="6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100" w:line="240" w:lineRule="auto"/>
        <w:jc w:val="center"/>
        <w:textAlignment w:val="baseline"/>
        <w:rPr>
          <w:rFonts w:hint="eastAsia" w:ascii="黑体" w:hAnsi="黑体" w:eastAsia="黑体" w:cs="黑体"/>
          <w:color w:val="000000" w:themeColor="text1"/>
          <w:spacing w:val="12"/>
          <w:sz w:val="31"/>
          <w:szCs w:val="31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color w:val="000000" w:themeColor="text1"/>
          <w:spacing w:val="14"/>
          <w:sz w:val="31"/>
          <w:szCs w:val="31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黑体" w:hAnsi="黑体" w:eastAsia="黑体" w:cs="黑体"/>
          <w:color w:val="000000" w:themeColor="text1"/>
          <w:spacing w:val="12"/>
          <w:sz w:val="31"/>
          <w:szCs w:val="31"/>
          <w14:textFill>
            <w14:solidFill>
              <w14:schemeClr w14:val="tx1"/>
            </w14:solidFill>
          </w14:textFill>
        </w:rPr>
        <w:t>新青年全球胜任力人才培养项目》</w:t>
      </w:r>
    </w:p>
    <w:p>
      <w:pPr>
        <w:spacing w:before="115" w:line="203" w:lineRule="auto"/>
        <w:jc w:val="center"/>
        <w:rPr>
          <w:rFonts w:ascii="微软雅黑" w:hAnsi="微软雅黑" w:eastAsia="微软雅黑" w:cs="微软雅黑"/>
          <w:sz w:val="52"/>
          <w:szCs w:val="52"/>
        </w:rPr>
      </w:pPr>
      <w:r>
        <w:rPr>
          <w:rFonts w:hint="eastAsia" w:ascii="黑体" w:hAnsi="黑体" w:eastAsia="黑体" w:cs="黑体"/>
          <w:color w:val="C00000"/>
          <w:spacing w:val="30"/>
          <w:sz w:val="52"/>
          <w:szCs w:val="52"/>
          <w14:textOutline w14:w="9448" w14:cap="flat" w14:cmpd="sng">
            <w14:solidFill>
              <w14:srgbClr w14:val="C00000"/>
            </w14:solidFill>
            <w14:prstDash w14:val="solid"/>
            <w14:miter w14:val="0"/>
          </w14:textOutline>
        </w:rPr>
        <w:t>师</w:t>
      </w:r>
      <w:r>
        <w:rPr>
          <w:rFonts w:hint="eastAsia" w:ascii="黑体" w:hAnsi="黑体" w:eastAsia="黑体" w:cs="黑体"/>
          <w:color w:val="C00000"/>
          <w:spacing w:val="27"/>
          <w:sz w:val="52"/>
          <w:szCs w:val="52"/>
        </w:rPr>
        <w:t xml:space="preserve">  </w:t>
      </w:r>
      <w:r>
        <w:rPr>
          <w:rFonts w:hint="eastAsia" w:ascii="黑体" w:hAnsi="黑体" w:eastAsia="黑体" w:cs="黑体"/>
          <w:color w:val="C00000"/>
          <w:spacing w:val="27"/>
          <w:sz w:val="52"/>
          <w:szCs w:val="52"/>
          <w14:textOutline w14:w="9448" w14:cap="flat" w14:cmpd="sng">
            <w14:solidFill>
              <w14:srgbClr w14:val="C00000"/>
            </w14:solidFill>
            <w14:prstDash w14:val="solid"/>
            <w14:miter w14:val="0"/>
          </w14:textOutline>
        </w:rPr>
        <w:t>资</w:t>
      </w:r>
      <w:r>
        <w:rPr>
          <w:rFonts w:hint="eastAsia" w:ascii="黑体" w:hAnsi="黑体" w:eastAsia="黑体" w:cs="黑体"/>
          <w:color w:val="C00000"/>
          <w:spacing w:val="27"/>
          <w:sz w:val="52"/>
          <w:szCs w:val="52"/>
        </w:rPr>
        <w:t xml:space="preserve">  </w:t>
      </w:r>
      <w:r>
        <w:rPr>
          <w:rFonts w:hint="eastAsia" w:ascii="黑体" w:hAnsi="黑体" w:eastAsia="黑体" w:cs="黑体"/>
          <w:color w:val="C00000"/>
          <w:spacing w:val="27"/>
          <w:sz w:val="52"/>
          <w:szCs w:val="52"/>
          <w14:textOutline w14:w="9448" w14:cap="flat" w14:cmpd="sng">
            <w14:solidFill>
              <w14:srgbClr w14:val="C00000"/>
            </w14:solidFill>
            <w14:prstDash w14:val="solid"/>
            <w14:miter w14:val="0"/>
          </w14:textOutline>
        </w:rPr>
        <w:t>简</w:t>
      </w:r>
      <w:r>
        <w:rPr>
          <w:rFonts w:hint="eastAsia" w:ascii="黑体" w:hAnsi="黑体" w:eastAsia="黑体" w:cs="黑体"/>
          <w:color w:val="C00000"/>
          <w:spacing w:val="27"/>
          <w:sz w:val="52"/>
          <w:szCs w:val="52"/>
        </w:rPr>
        <w:t xml:space="preserve">  </w:t>
      </w:r>
      <w:r>
        <w:rPr>
          <w:rFonts w:hint="eastAsia" w:ascii="黑体" w:hAnsi="黑体" w:eastAsia="黑体" w:cs="黑体"/>
          <w:color w:val="C00000"/>
          <w:spacing w:val="27"/>
          <w:sz w:val="52"/>
          <w:szCs w:val="52"/>
          <w14:textOutline w14:w="9448" w14:cap="flat" w14:cmpd="sng">
            <w14:solidFill>
              <w14:srgbClr w14:val="C00000"/>
            </w14:solidFill>
            <w14:prstDash w14:val="solid"/>
            <w14:miter w14:val="0"/>
          </w14:textOutline>
        </w:rPr>
        <w:t>介</w:t>
      </w:r>
    </w:p>
    <w:bookmarkEnd w:id="0"/>
    <w:p>
      <w:pPr>
        <w:spacing w:line="448" w:lineRule="auto"/>
        <w:rPr>
          <w:rFonts w:ascii="Arial"/>
          <w:sz w:val="21"/>
        </w:rPr>
      </w:pPr>
    </w:p>
    <w:p>
      <w:pPr>
        <w:spacing w:before="78" w:line="218" w:lineRule="auto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0"/>
          <w:sz w:val="24"/>
          <w:szCs w:val="24"/>
        </w:rPr>
        <w:t>(以姓氏笔划为序</w:t>
      </w:r>
      <w:r>
        <w:rPr>
          <w:rFonts w:ascii="仿宋" w:hAnsi="仿宋" w:eastAsia="仿宋" w:cs="仿宋"/>
          <w:spacing w:val="8"/>
          <w:sz w:val="24"/>
          <w:szCs w:val="24"/>
        </w:rPr>
        <w:t>)</w:t>
      </w:r>
    </w:p>
    <w:p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929005</wp:posOffset>
            </wp:positionH>
            <wp:positionV relativeFrom="page">
              <wp:posOffset>3018155</wp:posOffset>
            </wp:positionV>
            <wp:extent cx="5761990" cy="6350"/>
            <wp:effectExtent l="0" t="0" r="0" b="0"/>
            <wp:wrapNone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193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00" w:lineRule="exact"/>
      </w:pPr>
    </w:p>
    <w:p>
      <w:pPr>
        <w:rPr>
          <w:sz w:val="16"/>
          <w:szCs w:val="16"/>
        </w:rPr>
        <w:sectPr>
          <w:headerReference r:id="rId5" w:type="default"/>
          <w:footerReference r:id="rId6" w:type="default"/>
          <w:pgSz w:w="11907" w:h="16839"/>
          <w:pgMar w:top="1552" w:right="1342" w:bottom="979" w:left="1416" w:header="1191" w:footer="81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48"/>
          </w:cols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760" w:lineRule="exact"/>
        <w:ind w:firstLine="57"/>
        <w:textAlignment w:val="center"/>
        <w:rPr>
          <w:rFonts w:ascii="Arial"/>
          <w:sz w:val="21"/>
        </w:rPr>
      </w:pPr>
      <w:r>
        <w:drawing>
          <wp:inline distT="0" distB="0" distL="0" distR="0">
            <wp:extent cx="931545" cy="1116965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1117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212" w:lineRule="auto"/>
        <w:ind w:left="431"/>
        <w:textAlignment w:val="baseline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6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马</w:t>
      </w:r>
      <w:r>
        <w:rPr>
          <w:rFonts w:ascii="华文楷体" w:hAnsi="华文楷体" w:eastAsia="华文楷体" w:cs="华文楷体"/>
          <w:spacing w:val="-3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琳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19" w:line="207" w:lineRule="auto"/>
        <w:ind w:left="1709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《跨文化沟通与交流》主讲师</w:t>
      </w:r>
    </w:p>
    <w:p>
      <w:pPr>
        <w:tabs>
          <w:tab w:val="left" w:pos="2871"/>
        </w:tabs>
        <w:spacing w:before="57" w:line="198" w:lineRule="auto"/>
        <w:ind w:left="2731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z w:val="28"/>
          <w:szCs w:val="28"/>
        </w:rPr>
        <w:tab/>
      </w:r>
      <w:r>
        <w:rPr>
          <w:rFonts w:ascii="华文楷体" w:hAnsi="华文楷体" w:eastAsia="华文楷体" w:cs="华文楷体"/>
          <w:spacing w:val="7"/>
          <w:sz w:val="28"/>
          <w:szCs w:val="28"/>
        </w:rPr>
        <w:t>(秋季学期)</w:t>
      </w:r>
    </w:p>
    <w:p>
      <w:pPr>
        <w:spacing w:before="68" w:line="242" w:lineRule="auto"/>
        <w:ind w:firstLine="495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5"/>
          <w:sz w:val="24"/>
          <w:szCs w:val="24"/>
        </w:rPr>
        <w:t>现任北京外国语大学国际商学院副教授。北京外国语大学英语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学</w:t>
      </w:r>
      <w:r>
        <w:rPr>
          <w:rFonts w:ascii="华文楷体" w:hAnsi="华文楷体" w:eastAsia="华文楷体" w:cs="华文楷体"/>
          <w:sz w:val="24"/>
          <w:szCs w:val="24"/>
        </w:rPr>
        <w:t xml:space="preserve">  </w:t>
      </w:r>
      <w:r>
        <w:rPr>
          <w:rFonts w:ascii="华文楷体" w:hAnsi="华文楷体" w:eastAsia="华文楷体" w:cs="华文楷体"/>
          <w:spacing w:val="-14"/>
          <w:sz w:val="24"/>
          <w:szCs w:val="24"/>
        </w:rPr>
        <w:t>院英</w:t>
      </w:r>
      <w:r>
        <w:rPr>
          <w:rFonts w:ascii="华文楷体" w:hAnsi="华文楷体" w:eastAsia="华文楷体" w:cs="华文楷体"/>
          <w:spacing w:val="-7"/>
          <w:sz w:val="24"/>
          <w:szCs w:val="24"/>
        </w:rPr>
        <w:t>语语言文学本、硕，  美国路易维尔大学人文学院人文学博士。曾</w:t>
      </w:r>
      <w:r>
        <w:rPr>
          <w:rFonts w:ascii="华文楷体" w:hAnsi="华文楷体" w:eastAsia="华文楷体" w:cs="华文楷体"/>
          <w:sz w:val="24"/>
          <w:szCs w:val="24"/>
        </w:rPr>
        <w:t xml:space="preserve">  </w:t>
      </w:r>
      <w:r>
        <w:rPr>
          <w:rFonts w:ascii="华文楷体" w:hAnsi="华文楷体" w:eastAsia="华文楷体" w:cs="华文楷体"/>
          <w:spacing w:val="6"/>
          <w:sz w:val="24"/>
          <w:szCs w:val="24"/>
        </w:rPr>
        <w:t>先</w:t>
      </w:r>
      <w:r>
        <w:rPr>
          <w:rFonts w:ascii="华文楷体" w:hAnsi="华文楷体" w:eastAsia="华文楷体" w:cs="华文楷体"/>
          <w:spacing w:val="5"/>
          <w:sz w:val="24"/>
          <w:szCs w:val="24"/>
        </w:rPr>
        <w:t>后</w:t>
      </w:r>
      <w:r>
        <w:rPr>
          <w:rFonts w:ascii="华文楷体" w:hAnsi="华文楷体" w:eastAsia="华文楷体" w:cs="华文楷体"/>
          <w:spacing w:val="3"/>
          <w:sz w:val="24"/>
          <w:szCs w:val="24"/>
        </w:rPr>
        <w:t>在澳大利亚国立大学、美国密西根州立大学和法国</w:t>
      </w:r>
      <w:r>
        <w:rPr>
          <w:rFonts w:ascii="Candara" w:hAnsi="Candara" w:eastAsia="Candara" w:cs="Candara"/>
          <w:sz w:val="24"/>
          <w:szCs w:val="24"/>
        </w:rPr>
        <w:t>ESCP</w:t>
      </w:r>
      <w:r>
        <w:rPr>
          <w:rFonts w:ascii="华文楷体" w:hAnsi="华文楷体" w:eastAsia="华文楷体" w:cs="华文楷体"/>
          <w:spacing w:val="3"/>
          <w:sz w:val="24"/>
          <w:szCs w:val="24"/>
        </w:rPr>
        <w:t>欧洲高</w:t>
      </w:r>
      <w:r>
        <w:rPr>
          <w:rFonts w:ascii="华文楷体" w:hAnsi="华文楷体" w:eastAsia="华文楷体" w:cs="华文楷体"/>
          <w:sz w:val="24"/>
          <w:szCs w:val="24"/>
        </w:rPr>
        <w:t xml:space="preserve">  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等商学院做访问学者，  在美国密西根大学</w:t>
      </w:r>
      <w:r>
        <w:rPr>
          <w:rFonts w:ascii="Candara" w:hAnsi="Candara" w:eastAsia="Candara" w:cs="Candara"/>
          <w:spacing w:val="-4"/>
          <w:sz w:val="24"/>
          <w:szCs w:val="24"/>
        </w:rPr>
        <w:t>CC</w:t>
      </w:r>
      <w:r>
        <w:rPr>
          <w:rFonts w:ascii="Candara" w:hAnsi="Candara" w:eastAsia="Candara" w:cs="Candara"/>
          <w:spacing w:val="-2"/>
          <w:sz w:val="24"/>
          <w:szCs w:val="24"/>
        </w:rPr>
        <w:t>M</w:t>
      </w:r>
      <w:r>
        <w:rPr>
          <w:rFonts w:ascii="Candara" w:hAnsi="Candara" w:eastAsia="Candara" w:cs="Candara"/>
          <w:sz w:val="24"/>
          <w:szCs w:val="24"/>
        </w:rPr>
        <w:t>B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和英国斯泰福厦大学</w:t>
      </w:r>
      <w:r>
        <w:rPr>
          <w:rFonts w:ascii="华文楷体" w:hAnsi="华文楷体" w:eastAsia="华文楷体" w:cs="华文楷体"/>
          <w:sz w:val="24"/>
          <w:szCs w:val="24"/>
        </w:rPr>
        <w:t xml:space="preserve">  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商学院进修。主要研究领域包括国际营销、整合营销传播、消费者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行</w:t>
      </w:r>
      <w:r>
        <w:rPr>
          <w:rFonts w:ascii="华文楷体" w:hAnsi="华文楷体" w:eastAsia="华文楷体" w:cs="华文楷体"/>
          <w:sz w:val="24"/>
          <w:szCs w:val="24"/>
        </w:rPr>
        <w:t xml:space="preserve">  </w:t>
      </w:r>
      <w:r>
        <w:rPr>
          <w:rFonts w:ascii="华文楷体" w:hAnsi="华文楷体" w:eastAsia="华文楷体" w:cs="华文楷体"/>
          <w:spacing w:val="24"/>
          <w:sz w:val="24"/>
          <w:szCs w:val="24"/>
        </w:rPr>
        <w:t>为</w:t>
      </w:r>
      <w:r>
        <w:rPr>
          <w:rFonts w:ascii="华文楷体" w:hAnsi="华文楷体" w:eastAsia="华文楷体" w:cs="华文楷体"/>
          <w:spacing w:val="14"/>
          <w:sz w:val="24"/>
          <w:szCs w:val="24"/>
        </w:rPr>
        <w:t>、</w:t>
      </w:r>
      <w:r>
        <w:rPr>
          <w:rFonts w:ascii="华文楷体" w:hAnsi="华文楷体" w:eastAsia="华文楷体" w:cs="华文楷体"/>
          <w:spacing w:val="12"/>
          <w:sz w:val="24"/>
          <w:szCs w:val="24"/>
        </w:rPr>
        <w:t>跨文化传播等。担任</w:t>
      </w:r>
      <w:r>
        <w:rPr>
          <w:rFonts w:ascii="Candara" w:hAnsi="Candara" w:eastAsia="Candara" w:cs="Candara"/>
          <w:sz w:val="24"/>
          <w:szCs w:val="24"/>
        </w:rPr>
        <w:t>Intercultural</w:t>
      </w:r>
      <w:r>
        <w:rPr>
          <w:rFonts w:ascii="Candara" w:hAnsi="Candara" w:eastAsia="Candara" w:cs="Candara"/>
          <w:spacing w:val="12"/>
          <w:sz w:val="24"/>
          <w:szCs w:val="24"/>
        </w:rPr>
        <w:t xml:space="preserve">  </w:t>
      </w:r>
      <w:r>
        <w:rPr>
          <w:rFonts w:ascii="Candara" w:hAnsi="Candara" w:eastAsia="Candara" w:cs="Candara"/>
          <w:sz w:val="24"/>
          <w:szCs w:val="24"/>
        </w:rPr>
        <w:t>Communication</w:t>
      </w:r>
      <w:r>
        <w:rPr>
          <w:rFonts w:ascii="Candara" w:hAnsi="Candara" w:eastAsia="Candara" w:cs="Candara"/>
          <w:spacing w:val="12"/>
          <w:sz w:val="24"/>
          <w:szCs w:val="24"/>
        </w:rPr>
        <w:t xml:space="preserve">  </w:t>
      </w:r>
      <w:r>
        <w:rPr>
          <w:rFonts w:ascii="Candara" w:hAnsi="Candara" w:eastAsia="Candara" w:cs="Candara"/>
          <w:sz w:val="24"/>
          <w:szCs w:val="24"/>
        </w:rPr>
        <w:t>Studies</w:t>
      </w:r>
      <w:r>
        <w:rPr>
          <w:rFonts w:ascii="Candara" w:hAnsi="Candara" w:eastAsia="Candara" w:cs="Candara"/>
          <w:spacing w:val="12"/>
          <w:sz w:val="24"/>
          <w:szCs w:val="24"/>
        </w:rPr>
        <w:t xml:space="preserve">   </w:t>
      </w:r>
      <w:r>
        <w:rPr>
          <w:rFonts w:ascii="华文楷体" w:hAnsi="华文楷体" w:eastAsia="华文楷体" w:cs="华文楷体"/>
          <w:spacing w:val="12"/>
          <w:sz w:val="24"/>
          <w:szCs w:val="24"/>
        </w:rPr>
        <w:t>和</w:t>
      </w:r>
      <w:r>
        <w:rPr>
          <w:rFonts w:ascii="华文楷体" w:hAnsi="华文楷体" w:eastAsia="华文楷体" w:cs="华文楷体"/>
          <w:sz w:val="24"/>
          <w:szCs w:val="24"/>
        </w:rPr>
        <w:t xml:space="preserve">  </w:t>
      </w:r>
      <w:r>
        <w:rPr>
          <w:rFonts w:ascii="Candara" w:hAnsi="Candara" w:eastAsia="Candara" w:cs="Candara"/>
          <w:sz w:val="24"/>
          <w:szCs w:val="24"/>
        </w:rPr>
        <w:t>Journal</w:t>
      </w:r>
      <w:r>
        <w:rPr>
          <w:rFonts w:ascii="Candara" w:hAnsi="Candara" w:eastAsia="Candara" w:cs="Candara"/>
          <w:spacing w:val="1"/>
          <w:sz w:val="24"/>
          <w:szCs w:val="24"/>
        </w:rPr>
        <w:t xml:space="preserve"> </w:t>
      </w:r>
      <w:r>
        <w:rPr>
          <w:rFonts w:ascii="Candara" w:hAnsi="Candara" w:eastAsia="Candara" w:cs="Candara"/>
          <w:sz w:val="24"/>
          <w:szCs w:val="24"/>
        </w:rPr>
        <w:t>of International Marketing</w:t>
      </w:r>
      <w:r>
        <w:rPr>
          <w:rFonts w:ascii="华文楷体" w:hAnsi="华文楷体" w:eastAsia="华文楷体" w:cs="华文楷体"/>
          <w:sz w:val="24"/>
          <w:szCs w:val="24"/>
        </w:rPr>
        <w:t xml:space="preserve">国际学术期刊匿名评审专家。曾主  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持和参与国家社会科学基金中华学</w:t>
      </w:r>
      <w:r>
        <w:rPr>
          <w:rFonts w:ascii="华文楷体" w:hAnsi="华文楷体" w:eastAsia="华文楷体" w:cs="华文楷体"/>
          <w:spacing w:val="-1"/>
          <w:sz w:val="24"/>
          <w:szCs w:val="24"/>
        </w:rPr>
        <w:t>术外译项目、国家自然科学基金、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北京高校青年英才计划项目、北京市社科基金、国务院侨务办公室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青</w:t>
      </w:r>
      <w:r>
        <w:rPr>
          <w:rFonts w:ascii="华文楷体" w:hAnsi="华文楷体" w:eastAsia="华文楷体" w:cs="华文楷体"/>
          <w:sz w:val="24"/>
          <w:szCs w:val="24"/>
        </w:rPr>
        <w:t xml:space="preserve">  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年课题、北京外国语大学‘双一流’</w:t>
      </w:r>
      <w:r>
        <w:rPr>
          <w:rFonts w:ascii="华文楷体" w:hAnsi="华文楷体" w:eastAsia="华文楷体" w:cs="华文楷体"/>
          <w:spacing w:val="-1"/>
          <w:sz w:val="24"/>
          <w:szCs w:val="24"/>
        </w:rPr>
        <w:t>重大</w:t>
      </w:r>
      <w:r>
        <w:rPr>
          <w:rFonts w:ascii="Candara" w:hAnsi="Candara" w:eastAsia="Candara" w:cs="Candara"/>
          <w:spacing w:val="-1"/>
          <w:sz w:val="24"/>
          <w:szCs w:val="24"/>
        </w:rPr>
        <w:t>(</w:t>
      </w:r>
      <w:r>
        <w:rPr>
          <w:rFonts w:ascii="华文楷体" w:hAnsi="华文楷体" w:eastAsia="华文楷体" w:cs="华文楷体"/>
          <w:spacing w:val="-1"/>
          <w:sz w:val="24"/>
          <w:szCs w:val="24"/>
        </w:rPr>
        <w:t>点</w:t>
      </w:r>
      <w:r>
        <w:rPr>
          <w:rFonts w:ascii="Candara" w:hAnsi="Candara" w:eastAsia="Candara" w:cs="Candara"/>
          <w:spacing w:val="-1"/>
          <w:sz w:val="24"/>
          <w:szCs w:val="24"/>
        </w:rPr>
        <w:t>)</w:t>
      </w:r>
      <w:r>
        <w:rPr>
          <w:rFonts w:ascii="华文楷体" w:hAnsi="华文楷体" w:eastAsia="华文楷体" w:cs="华文楷体"/>
          <w:spacing w:val="-1"/>
          <w:sz w:val="24"/>
          <w:szCs w:val="24"/>
        </w:rPr>
        <w:t>标志性项目等多项科研</w:t>
      </w:r>
      <w:r>
        <w:rPr>
          <w:rFonts w:ascii="华文楷体" w:hAnsi="华文楷体" w:eastAsia="华文楷体" w:cs="华文楷体"/>
          <w:sz w:val="24"/>
          <w:szCs w:val="24"/>
        </w:rPr>
        <w:t xml:space="preserve">  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项目。在</w:t>
      </w:r>
      <w:r>
        <w:rPr>
          <w:rFonts w:ascii="Candara" w:hAnsi="Candara" w:eastAsia="Candara" w:cs="Candara"/>
          <w:spacing w:val="-2"/>
          <w:sz w:val="24"/>
          <w:szCs w:val="24"/>
        </w:rPr>
        <w:t xml:space="preserve">International Business Review 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，</w:t>
      </w:r>
      <w:r>
        <w:rPr>
          <w:rFonts w:ascii="Candara" w:hAnsi="Candara" w:eastAsia="Candara" w:cs="Candara"/>
          <w:spacing w:val="-2"/>
          <w:sz w:val="24"/>
          <w:szCs w:val="24"/>
        </w:rPr>
        <w:t>Intercultural Communi</w:t>
      </w:r>
      <w:r>
        <w:rPr>
          <w:rFonts w:ascii="Candara" w:hAnsi="Candara" w:eastAsia="Candara" w:cs="Candara"/>
          <w:spacing w:val="-1"/>
          <w:sz w:val="24"/>
          <w:szCs w:val="24"/>
        </w:rPr>
        <w:t>c</w:t>
      </w:r>
      <w:r>
        <w:rPr>
          <w:rFonts w:ascii="Candara" w:hAnsi="Candara" w:eastAsia="Candara" w:cs="Candara"/>
          <w:sz w:val="24"/>
          <w:szCs w:val="24"/>
        </w:rPr>
        <w:t xml:space="preserve">ation  </w:t>
      </w:r>
      <w:r>
        <w:rPr>
          <w:rFonts w:ascii="Candara" w:hAnsi="Candara" w:eastAsia="Candara" w:cs="Candara"/>
          <w:spacing w:val="-2"/>
          <w:sz w:val="24"/>
          <w:szCs w:val="24"/>
        </w:rPr>
        <w:t>Studies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，现代传播等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国际国内核心学术期刊和会议发表论文</w:t>
      </w:r>
      <w:r>
        <w:rPr>
          <w:rFonts w:ascii="Candara" w:hAnsi="Candara" w:eastAsia="Candara" w:cs="Candara"/>
          <w:spacing w:val="-2"/>
          <w:sz w:val="24"/>
          <w:szCs w:val="24"/>
        </w:rPr>
        <w:t xml:space="preserve">10 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余篇。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出版专著《</w:t>
      </w:r>
      <w:r>
        <w:rPr>
          <w:rFonts w:ascii="Candara" w:hAnsi="Candara" w:eastAsia="Candara" w:cs="Candara"/>
          <w:spacing w:val="-2"/>
          <w:sz w:val="24"/>
          <w:szCs w:val="24"/>
        </w:rPr>
        <w:t xml:space="preserve">Postmodern Advertising and Its Reception: A </w:t>
      </w:r>
      <w:r>
        <w:rPr>
          <w:rFonts w:ascii="Candara" w:hAnsi="Candara" w:eastAsia="Candara" w:cs="Candara"/>
          <w:spacing w:val="-1"/>
          <w:sz w:val="24"/>
          <w:szCs w:val="24"/>
        </w:rPr>
        <w:t>Cross</w:t>
      </w:r>
      <w:r>
        <w:rPr>
          <w:rFonts w:ascii="Candara" w:hAnsi="Candara" w:eastAsia="Candara" w:cs="Candara"/>
          <w:spacing w:val="-2"/>
          <w:sz w:val="24"/>
          <w:szCs w:val="24"/>
        </w:rPr>
        <w:t>-</w:t>
      </w:r>
      <w:r>
        <w:rPr>
          <w:rFonts w:ascii="Candara" w:hAnsi="Candara" w:eastAsia="Candara" w:cs="Candara"/>
          <w:spacing w:val="-1"/>
          <w:sz w:val="24"/>
          <w:szCs w:val="24"/>
        </w:rPr>
        <w:t>Cultural</w:t>
      </w:r>
      <w:r>
        <w:rPr>
          <w:rFonts w:ascii="Candara" w:hAnsi="Candara" w:eastAsia="Candara" w:cs="Candara"/>
          <w:sz w:val="24"/>
          <w:szCs w:val="24"/>
        </w:rPr>
        <w:t xml:space="preserve">  </w:t>
      </w:r>
      <w:r>
        <w:rPr>
          <w:rFonts w:ascii="Candara" w:hAnsi="Candara" w:eastAsia="Candara" w:cs="Candara"/>
          <w:spacing w:val="-8"/>
          <w:sz w:val="24"/>
          <w:szCs w:val="24"/>
        </w:rPr>
        <w:t>Perspectiv</w:t>
      </w:r>
      <w:r>
        <w:rPr>
          <w:rFonts w:ascii="Candara" w:hAnsi="Candara" w:eastAsia="Candara" w:cs="Candara"/>
          <w:spacing w:val="-3"/>
          <w:sz w:val="24"/>
          <w:szCs w:val="24"/>
        </w:rPr>
        <w:t>e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》，  并参与    “十一五”国家级规划教材《商务英语阅读》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的</w:t>
      </w:r>
      <w:r>
        <w:rPr>
          <w:rFonts w:ascii="华文楷体" w:hAnsi="华文楷体" w:eastAsia="华文楷体" w:cs="华文楷体"/>
          <w:spacing w:val="-6"/>
          <w:sz w:val="24"/>
          <w:szCs w:val="24"/>
        </w:rPr>
        <w:t>编写。</w:t>
      </w:r>
    </w:p>
    <w:p>
      <w:pPr>
        <w:sectPr>
          <w:type w:val="continuous"/>
          <w:pgSz w:w="11907" w:h="16839"/>
          <w:pgMar w:top="1552" w:right="1342" w:bottom="979" w:left="1416" w:header="427" w:footer="81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1836" w:space="100"/>
            <w:col w:w="7213"/>
          </w:cols>
        </w:sectPr>
      </w:pPr>
    </w:p>
    <w:p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884555</wp:posOffset>
            </wp:positionH>
            <wp:positionV relativeFrom="page">
              <wp:posOffset>7289165</wp:posOffset>
            </wp:positionV>
            <wp:extent cx="576199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193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sz w:val="16"/>
          <w:szCs w:val="16"/>
        </w:rPr>
      </w:pPr>
    </w:p>
    <w:p>
      <w:pPr>
        <w:spacing w:line="48" w:lineRule="exact"/>
      </w:pPr>
    </w:p>
    <w:p>
      <w:pPr>
        <w:sectPr>
          <w:type w:val="continuous"/>
          <w:pgSz w:w="11907" w:h="16839"/>
          <w:pgMar w:top="1552" w:right="1342" w:bottom="979" w:left="1416" w:header="427" w:footer="81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148"/>
          </w:cols>
        </w:sectPr>
      </w:pPr>
    </w:p>
    <w:p>
      <w:pPr>
        <w:spacing w:before="57" w:line="1793" w:lineRule="exact"/>
        <w:ind w:firstLine="133"/>
        <w:textAlignment w:val="center"/>
      </w:pPr>
      <w:r>
        <w:drawing>
          <wp:inline distT="0" distB="0" distL="0" distR="0">
            <wp:extent cx="937260" cy="113855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212" w:lineRule="auto"/>
        <w:jc w:val="center"/>
        <w:textAlignment w:val="baseline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王</w:t>
      </w:r>
      <w:r>
        <w:rPr>
          <w:rFonts w:ascii="华文楷体" w:hAnsi="华文楷体" w:eastAsia="华文楷体" w:cs="华文楷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勇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18" w:line="204" w:lineRule="auto"/>
        <w:ind w:left="1549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《全球治理的中国方案》主讲师</w:t>
      </w:r>
    </w:p>
    <w:p>
      <w:pPr>
        <w:tabs>
          <w:tab w:val="left" w:pos="2856"/>
        </w:tabs>
        <w:spacing w:before="63" w:line="198" w:lineRule="auto"/>
        <w:ind w:left="2716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z w:val="28"/>
          <w:szCs w:val="28"/>
        </w:rPr>
        <w:tab/>
      </w:r>
      <w:r>
        <w:rPr>
          <w:rFonts w:ascii="华文楷体" w:hAnsi="华文楷体" w:eastAsia="华文楷体" w:cs="华文楷体"/>
          <w:spacing w:val="7"/>
          <w:sz w:val="28"/>
          <w:szCs w:val="28"/>
        </w:rPr>
        <w:t>(秋季学期)</w:t>
      </w:r>
    </w:p>
    <w:p>
      <w:pPr>
        <w:spacing w:before="69" w:line="234" w:lineRule="auto"/>
        <w:ind w:right="57" w:firstLine="482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4"/>
          <w:sz w:val="24"/>
          <w:szCs w:val="24"/>
        </w:rPr>
        <w:t>现任北京大</w:t>
      </w:r>
      <w:r>
        <w:rPr>
          <w:rFonts w:ascii="华文楷体" w:hAnsi="华文楷体" w:eastAsia="华文楷体" w:cs="华文楷体"/>
          <w:spacing w:val="-3"/>
          <w:sz w:val="24"/>
          <w:szCs w:val="24"/>
        </w:rPr>
        <w:t>学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国际关系学院教授、北京大学美国研究中心主任、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14"/>
          <w:sz w:val="24"/>
          <w:szCs w:val="24"/>
        </w:rPr>
        <w:t>北</w:t>
      </w:r>
      <w:r>
        <w:rPr>
          <w:rFonts w:ascii="华文楷体" w:hAnsi="华文楷体" w:eastAsia="华文楷体" w:cs="华文楷体"/>
          <w:spacing w:val="-11"/>
          <w:sz w:val="24"/>
          <w:szCs w:val="24"/>
        </w:rPr>
        <w:t>京大学国际政治经济研究中心主任；  中国外交部党校教授；  北京大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学香港特</w:t>
      </w:r>
      <w:r>
        <w:rPr>
          <w:rFonts w:ascii="华文楷体" w:hAnsi="华文楷体" w:eastAsia="华文楷体" w:cs="华文楷体"/>
          <w:spacing w:val="-5"/>
          <w:sz w:val="24"/>
          <w:szCs w:val="24"/>
        </w:rPr>
        <w:t>区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高级公务员国情培训主讲教授；国家商务部北京大学非洲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1"/>
          <w:sz w:val="24"/>
          <w:szCs w:val="24"/>
        </w:rPr>
        <w:t>外交官培训项目教授；  瑞</w:t>
      </w:r>
      <w:r>
        <w:rPr>
          <w:rFonts w:ascii="华文楷体" w:hAnsi="华文楷体" w:eastAsia="华文楷体" w:cs="华文楷体"/>
          <w:sz w:val="24"/>
          <w:szCs w:val="24"/>
        </w:rPr>
        <w:t>士达沃斯世界经济论坛(</w:t>
      </w:r>
      <w:r>
        <w:rPr>
          <w:rFonts w:ascii="Candara" w:hAnsi="Candara" w:eastAsia="Candara" w:cs="Candara"/>
          <w:sz w:val="24"/>
          <w:szCs w:val="24"/>
        </w:rPr>
        <w:t>WEF</w:t>
      </w:r>
      <w:r>
        <w:rPr>
          <w:rFonts w:ascii="华文楷体" w:hAnsi="华文楷体" w:eastAsia="华文楷体" w:cs="华文楷体"/>
          <w:sz w:val="24"/>
          <w:szCs w:val="24"/>
        </w:rPr>
        <w:t xml:space="preserve">)  地缘政治全 </w:t>
      </w:r>
      <w:r>
        <w:rPr>
          <w:rFonts w:ascii="华文楷体" w:hAnsi="华文楷体" w:eastAsia="华文楷体" w:cs="华文楷体"/>
          <w:spacing w:val="-12"/>
          <w:sz w:val="24"/>
          <w:szCs w:val="24"/>
        </w:rPr>
        <w:t>球</w:t>
      </w:r>
      <w:r>
        <w:rPr>
          <w:rFonts w:ascii="华文楷体" w:hAnsi="华文楷体" w:eastAsia="华文楷体" w:cs="华文楷体"/>
          <w:spacing w:val="-11"/>
          <w:sz w:val="24"/>
          <w:szCs w:val="24"/>
        </w:rPr>
        <w:t>议</w:t>
      </w:r>
      <w:r>
        <w:rPr>
          <w:rFonts w:ascii="华文楷体" w:hAnsi="华文楷体" w:eastAsia="华文楷体" w:cs="华文楷体"/>
          <w:spacing w:val="-6"/>
          <w:sz w:val="24"/>
          <w:szCs w:val="24"/>
        </w:rPr>
        <w:t>程委员会委员； 加拿大多伦多大学全球事务学院杰出学者。北京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大学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法学本、硕、博。主要研究领域包括中美关系、中美经济关系、</w:t>
      </w:r>
    </w:p>
    <w:p>
      <w:pPr>
        <w:sectPr>
          <w:type w:val="continuous"/>
          <w:pgSz w:w="11907" w:h="16839"/>
          <w:pgMar w:top="1552" w:right="1342" w:bottom="979" w:left="1416" w:header="427" w:footer="81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1854" w:space="100"/>
            <w:col w:w="7195"/>
          </w:cols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87" w:line="267" w:lineRule="auto"/>
        <w:ind w:left="1966" w:right="72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5"/>
          <w:sz w:val="24"/>
          <w:szCs w:val="24"/>
        </w:rPr>
        <w:t>贸易政治、区域合作、国际经济关系、国际政治经济学、全球治理等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13"/>
          <w:sz w:val="24"/>
          <w:szCs w:val="24"/>
        </w:rPr>
        <w:t>方</w:t>
      </w:r>
      <w:r>
        <w:rPr>
          <w:rFonts w:ascii="华文楷体" w:hAnsi="华文楷体" w:eastAsia="华文楷体" w:cs="华文楷体"/>
          <w:spacing w:val="-10"/>
          <w:sz w:val="24"/>
          <w:szCs w:val="24"/>
        </w:rPr>
        <w:t>向研究。</w:t>
      </w:r>
    </w:p>
    <w:p>
      <w:pPr>
        <w:spacing w:before="62" w:line="256" w:lineRule="auto"/>
        <w:ind w:left="1944" w:right="8" w:firstLine="507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10"/>
          <w:sz w:val="24"/>
          <w:szCs w:val="24"/>
        </w:rPr>
        <w:t>曾在美</w:t>
      </w:r>
      <w:r>
        <w:rPr>
          <w:rFonts w:ascii="华文楷体" w:hAnsi="华文楷体" w:eastAsia="华文楷体" w:cs="华文楷体"/>
          <w:spacing w:val="-5"/>
          <w:sz w:val="24"/>
          <w:szCs w:val="24"/>
        </w:rPr>
        <w:t>国霍普金斯大学－南京大学中美文化研究中心学习，并先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11"/>
          <w:sz w:val="24"/>
          <w:szCs w:val="24"/>
        </w:rPr>
        <w:t>后</w:t>
      </w:r>
      <w:r>
        <w:rPr>
          <w:rFonts w:ascii="华文楷体" w:hAnsi="华文楷体" w:eastAsia="华文楷体" w:cs="华文楷体"/>
          <w:spacing w:val="6"/>
          <w:sz w:val="24"/>
          <w:szCs w:val="24"/>
        </w:rPr>
        <w:t>在美国加州大学圣迭戈分校、美国太平洋国际政策委员会(</w:t>
      </w:r>
      <w:r>
        <w:rPr>
          <w:rFonts w:ascii="Candara" w:hAnsi="Candara" w:eastAsia="Candara" w:cs="Candara"/>
          <w:sz w:val="24"/>
          <w:szCs w:val="24"/>
        </w:rPr>
        <w:t>PCIP</w:t>
      </w:r>
      <w:r>
        <w:rPr>
          <w:rFonts w:ascii="华文楷体" w:hAnsi="华文楷体" w:eastAsia="华文楷体" w:cs="华文楷体"/>
          <w:spacing w:val="6"/>
          <w:sz w:val="24"/>
          <w:szCs w:val="24"/>
        </w:rPr>
        <w:t>)</w:t>
      </w:r>
      <w:r>
        <w:rPr>
          <w:rFonts w:ascii="华文楷体" w:hAnsi="华文楷体" w:eastAsia="华文楷体" w:cs="华文楷体"/>
          <w:sz w:val="24"/>
          <w:szCs w:val="24"/>
        </w:rPr>
        <w:t xml:space="preserve"> 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－</w:t>
      </w:r>
      <w:r>
        <w:rPr>
          <w:rFonts w:ascii="华文楷体" w:hAnsi="华文楷体" w:eastAsia="华文楷体" w:cs="华文楷体"/>
          <w:spacing w:val="-7"/>
          <w:sz w:val="24"/>
          <w:szCs w:val="24"/>
        </w:rPr>
        <w:t>南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加州大学、台湾政治大学国际关系研究中心、美国印第安纳州立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10"/>
          <w:sz w:val="24"/>
          <w:szCs w:val="24"/>
        </w:rPr>
        <w:t>大学</w:t>
      </w:r>
      <w:r>
        <w:rPr>
          <w:rFonts w:ascii="华文楷体" w:hAnsi="华文楷体" w:eastAsia="华文楷体" w:cs="华文楷体"/>
          <w:spacing w:val="5"/>
          <w:sz w:val="24"/>
          <w:szCs w:val="24"/>
        </w:rPr>
        <w:t>、加拿大国际治理创新中心(</w:t>
      </w:r>
      <w:r>
        <w:rPr>
          <w:rFonts w:ascii="Candara" w:hAnsi="Candara" w:eastAsia="Candara" w:cs="Candara"/>
          <w:sz w:val="24"/>
          <w:szCs w:val="24"/>
        </w:rPr>
        <w:t>CIGI</w:t>
      </w:r>
      <w:r>
        <w:rPr>
          <w:rFonts w:ascii="华文楷体" w:hAnsi="华文楷体" w:eastAsia="华文楷体" w:cs="华文楷体"/>
          <w:spacing w:val="5"/>
          <w:sz w:val="24"/>
          <w:szCs w:val="24"/>
        </w:rPr>
        <w:t>)  、英国谢菲尔德大学政治经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14"/>
          <w:sz w:val="24"/>
          <w:szCs w:val="24"/>
        </w:rPr>
        <w:t>济学研究所做访问学者，   是加拿大不列颠哥伦比亚大学(</w:t>
      </w:r>
      <w:r>
        <w:rPr>
          <w:rFonts w:ascii="Candara" w:hAnsi="Candara" w:eastAsia="Candara" w:cs="Candara"/>
          <w:sz w:val="24"/>
          <w:szCs w:val="24"/>
        </w:rPr>
        <w:t>UBC</w:t>
      </w:r>
      <w:r>
        <w:rPr>
          <w:rFonts w:ascii="华文楷体" w:hAnsi="华文楷体" w:eastAsia="华文楷体" w:cs="华文楷体"/>
          <w:spacing w:val="10"/>
          <w:sz w:val="24"/>
          <w:szCs w:val="24"/>
        </w:rPr>
        <w:t>)</w:t>
      </w:r>
      <w:r>
        <w:rPr>
          <w:rFonts w:ascii="华文楷体" w:hAnsi="华文楷体" w:eastAsia="华文楷体" w:cs="华文楷体"/>
          <w:sz w:val="24"/>
          <w:szCs w:val="24"/>
        </w:rPr>
        <w:t xml:space="preserve">   </w:t>
      </w:r>
      <w:r>
        <w:rPr>
          <w:rFonts w:ascii="Candara" w:hAnsi="Candara" w:eastAsia="Candara" w:cs="Candara"/>
          <w:spacing w:val="-1"/>
          <w:sz w:val="24"/>
          <w:szCs w:val="24"/>
        </w:rPr>
        <w:t>Ch</w:t>
      </w:r>
      <w:r>
        <w:rPr>
          <w:rFonts w:ascii="Candara" w:hAnsi="Candara" w:eastAsia="Candara" w:cs="Candara"/>
          <w:sz w:val="24"/>
          <w:szCs w:val="24"/>
        </w:rPr>
        <w:t>avelier</w:t>
      </w:r>
      <w:r>
        <w:rPr>
          <w:rFonts w:ascii="华文楷体" w:hAnsi="华文楷体" w:eastAsia="华文楷体" w:cs="华文楷体"/>
          <w:spacing w:val="-1"/>
          <w:sz w:val="24"/>
          <w:szCs w:val="24"/>
        </w:rPr>
        <w:t>杰出访问教授。</w:t>
      </w:r>
    </w:p>
    <w:p>
      <w:pPr>
        <w:spacing w:before="41" w:line="251" w:lineRule="auto"/>
        <w:ind w:left="1944" w:right="68" w:firstLine="491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12"/>
          <w:sz w:val="24"/>
          <w:szCs w:val="24"/>
        </w:rPr>
        <w:t>现担任英文杂志《全球亚洲》(</w:t>
      </w:r>
      <w:r>
        <w:rPr>
          <w:rFonts w:ascii="Candara" w:hAnsi="Candara" w:eastAsia="Candara" w:cs="Candara"/>
          <w:sz w:val="24"/>
          <w:szCs w:val="24"/>
        </w:rPr>
        <w:t>Global</w:t>
      </w:r>
      <w:r>
        <w:rPr>
          <w:rFonts w:ascii="Candara" w:hAnsi="Candara" w:eastAsia="Candara" w:cs="Candara"/>
          <w:spacing w:val="12"/>
          <w:sz w:val="24"/>
          <w:szCs w:val="24"/>
        </w:rPr>
        <w:t xml:space="preserve"> </w:t>
      </w:r>
      <w:r>
        <w:rPr>
          <w:rFonts w:ascii="Candara" w:hAnsi="Candara" w:eastAsia="Candara" w:cs="Candara"/>
          <w:sz w:val="24"/>
          <w:szCs w:val="24"/>
        </w:rPr>
        <w:t>Asia</w:t>
      </w:r>
      <w:r>
        <w:rPr>
          <w:rFonts w:ascii="华文楷体" w:hAnsi="华文楷体" w:eastAsia="华文楷体" w:cs="华文楷体"/>
          <w:spacing w:val="12"/>
          <w:sz w:val="24"/>
          <w:szCs w:val="24"/>
        </w:rPr>
        <w:t>)  、《全球治理》</w:t>
      </w:r>
      <w:r>
        <w:rPr>
          <w:rFonts w:ascii="华文楷体" w:hAnsi="华文楷体" w:eastAsia="华文楷体" w:cs="华文楷体"/>
          <w:spacing w:val="8"/>
          <w:sz w:val="24"/>
          <w:szCs w:val="24"/>
        </w:rPr>
        <w:t>(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Candara" w:hAnsi="Candara" w:eastAsia="Candara" w:cs="Candara"/>
          <w:sz w:val="24"/>
          <w:szCs w:val="24"/>
        </w:rPr>
        <w:t>Global</w:t>
      </w:r>
      <w:r>
        <w:rPr>
          <w:rFonts w:ascii="Candara" w:hAnsi="Candara" w:eastAsia="Candara" w:cs="Candara"/>
          <w:spacing w:val="4"/>
          <w:sz w:val="24"/>
          <w:szCs w:val="24"/>
        </w:rPr>
        <w:t xml:space="preserve"> </w:t>
      </w:r>
      <w:r>
        <w:rPr>
          <w:rFonts w:ascii="Candara" w:hAnsi="Candara" w:eastAsia="Candara" w:cs="Candara"/>
          <w:sz w:val="24"/>
          <w:szCs w:val="24"/>
        </w:rPr>
        <w:t>Governance</w:t>
      </w:r>
      <w:r>
        <w:rPr>
          <w:rFonts w:ascii="华文楷体" w:hAnsi="华文楷体" w:eastAsia="华文楷体" w:cs="华文楷体"/>
          <w:spacing w:val="4"/>
          <w:sz w:val="24"/>
          <w:szCs w:val="24"/>
        </w:rPr>
        <w:t>)  、《当代政治》(</w:t>
      </w:r>
      <w:r>
        <w:rPr>
          <w:rFonts w:ascii="Candara" w:hAnsi="Candara" w:eastAsia="Candara" w:cs="Candara"/>
          <w:sz w:val="24"/>
          <w:szCs w:val="24"/>
        </w:rPr>
        <w:t>Contemporary</w:t>
      </w:r>
      <w:r>
        <w:rPr>
          <w:rFonts w:ascii="Candara" w:hAnsi="Candara" w:eastAsia="Candara" w:cs="Candara"/>
          <w:spacing w:val="4"/>
          <w:sz w:val="24"/>
          <w:szCs w:val="24"/>
        </w:rPr>
        <w:t xml:space="preserve"> </w:t>
      </w:r>
      <w:r>
        <w:rPr>
          <w:rFonts w:ascii="Candara" w:hAnsi="Candara" w:eastAsia="Candara" w:cs="Candara"/>
          <w:sz w:val="24"/>
          <w:szCs w:val="24"/>
        </w:rPr>
        <w:t>Politics</w:t>
      </w:r>
      <w:r>
        <w:rPr>
          <w:rFonts w:ascii="华文楷体" w:hAnsi="华文楷体" w:eastAsia="华文楷体" w:cs="华文楷体"/>
          <w:spacing w:val="4"/>
          <w:sz w:val="24"/>
          <w:szCs w:val="24"/>
        </w:rPr>
        <w:t>)  、《</w:t>
      </w:r>
      <w:r>
        <w:rPr>
          <w:rFonts w:ascii="华文楷体" w:hAnsi="华文楷体" w:eastAsia="华文楷体" w:cs="华文楷体"/>
          <w:spacing w:val="1"/>
          <w:sz w:val="24"/>
          <w:szCs w:val="24"/>
        </w:rPr>
        <w:t>人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1"/>
          <w:sz w:val="24"/>
          <w:szCs w:val="24"/>
        </w:rPr>
        <w:t>类安全》</w:t>
      </w:r>
      <w:r>
        <w:rPr>
          <w:rFonts w:ascii="华文楷体" w:hAnsi="华文楷体" w:eastAsia="华文楷体" w:cs="华文楷体"/>
          <w:sz w:val="24"/>
          <w:szCs w:val="24"/>
        </w:rPr>
        <w:t>(</w:t>
      </w:r>
      <w:r>
        <w:rPr>
          <w:rFonts w:ascii="Candara" w:hAnsi="Candara" w:eastAsia="Candara" w:cs="Candara"/>
          <w:sz w:val="24"/>
          <w:szCs w:val="24"/>
        </w:rPr>
        <w:t>Human Security</w:t>
      </w:r>
      <w:r>
        <w:rPr>
          <w:rFonts w:ascii="华文楷体" w:hAnsi="华文楷体" w:eastAsia="华文楷体" w:cs="华文楷体"/>
          <w:sz w:val="24"/>
          <w:szCs w:val="24"/>
        </w:rPr>
        <w:t>)  等编委及《国际政治经济学评论》  (</w:t>
      </w:r>
      <w:r>
        <w:rPr>
          <w:rFonts w:ascii="Candara" w:hAnsi="Candara" w:eastAsia="Candara" w:cs="Candara"/>
          <w:sz w:val="24"/>
          <w:szCs w:val="24"/>
        </w:rPr>
        <w:t xml:space="preserve">RIPE </w:t>
      </w:r>
      <w:r>
        <w:rPr>
          <w:rFonts w:ascii="华文楷体" w:hAnsi="华文楷体" w:eastAsia="华文楷体" w:cs="华文楷体"/>
          <w:spacing w:val="17"/>
          <w:sz w:val="24"/>
          <w:szCs w:val="24"/>
        </w:rPr>
        <w:t>)</w:t>
      </w:r>
      <w:r>
        <w:rPr>
          <w:rFonts w:ascii="华文楷体" w:hAnsi="华文楷体" w:eastAsia="华文楷体" w:cs="华文楷体"/>
          <w:spacing w:val="11"/>
          <w:sz w:val="24"/>
          <w:szCs w:val="24"/>
        </w:rPr>
        <w:t>国际顾问委员会委员。</w:t>
      </w:r>
    </w:p>
    <w:p>
      <w:pPr>
        <w:spacing w:before="102" w:line="252" w:lineRule="auto"/>
        <w:ind w:left="1940" w:right="71" w:firstLine="500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11"/>
          <w:sz w:val="24"/>
          <w:szCs w:val="24"/>
        </w:rPr>
        <w:t>王勇教授出版著作</w:t>
      </w:r>
      <w:r>
        <w:rPr>
          <w:rFonts w:ascii="Candara" w:hAnsi="Candara" w:eastAsia="Candara" w:cs="Candara"/>
          <w:spacing w:val="-11"/>
          <w:sz w:val="24"/>
          <w:szCs w:val="24"/>
        </w:rPr>
        <w:t>11</w:t>
      </w:r>
      <w:r>
        <w:rPr>
          <w:rFonts w:ascii="华文楷体" w:hAnsi="华文楷体" w:eastAsia="华文楷体" w:cs="华文楷体"/>
          <w:spacing w:val="-11"/>
          <w:sz w:val="24"/>
          <w:szCs w:val="24"/>
        </w:rPr>
        <w:t>部，   包括《中国与国际政治经济学：  全球</w:t>
      </w:r>
      <w:r>
        <w:rPr>
          <w:rFonts w:ascii="华文楷体" w:hAnsi="华文楷体" w:eastAsia="华文楷体" w:cs="华文楷体"/>
          <w:spacing w:val="-9"/>
          <w:sz w:val="24"/>
          <w:szCs w:val="24"/>
        </w:rPr>
        <w:t>对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话》、</w:t>
      </w:r>
      <w:r>
        <w:rPr>
          <w:rFonts w:ascii="华文楷体" w:hAnsi="华文楷体" w:eastAsia="华文楷体" w:cs="华文楷体"/>
          <w:spacing w:val="-6"/>
          <w:sz w:val="24"/>
          <w:szCs w:val="24"/>
        </w:rPr>
        <w:t>《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奥巴马政治经济学》、《国际贸易政治经济学》、《中美经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20"/>
          <w:sz w:val="24"/>
          <w:szCs w:val="24"/>
        </w:rPr>
        <w:t>贸</w:t>
      </w:r>
      <w:r>
        <w:rPr>
          <w:rFonts w:ascii="华文楷体" w:hAnsi="华文楷体" w:eastAsia="华文楷体" w:cs="华文楷体"/>
          <w:spacing w:val="-13"/>
          <w:sz w:val="24"/>
          <w:szCs w:val="24"/>
        </w:rPr>
        <w:t>关</w:t>
      </w:r>
      <w:r>
        <w:rPr>
          <w:rFonts w:ascii="华文楷体" w:hAnsi="华文楷体" w:eastAsia="华文楷体" w:cs="华文楷体"/>
          <w:spacing w:val="-10"/>
          <w:sz w:val="24"/>
          <w:szCs w:val="24"/>
        </w:rPr>
        <w:t xml:space="preserve">系》、《最惠国待遇的回合：  </w:t>
      </w:r>
      <w:r>
        <w:rPr>
          <w:rFonts w:ascii="Candara" w:hAnsi="Candara" w:eastAsia="Candara" w:cs="Candara"/>
          <w:spacing w:val="-10"/>
          <w:sz w:val="24"/>
          <w:szCs w:val="24"/>
        </w:rPr>
        <w:t>1989-1997</w:t>
      </w:r>
      <w:r>
        <w:rPr>
          <w:rFonts w:ascii="华文楷体" w:hAnsi="华文楷体" w:eastAsia="华文楷体" w:cs="华文楷体"/>
          <w:spacing w:val="-10"/>
          <w:sz w:val="24"/>
          <w:szCs w:val="24"/>
        </w:rPr>
        <w:t>年中美经贸关系》等，  发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 xml:space="preserve">表中、英、日、西班牙、韩文学术论文数十篇。  </w:t>
      </w:r>
      <w:r>
        <w:rPr>
          <w:rFonts w:ascii="Candara" w:hAnsi="Candara" w:eastAsia="Candara" w:cs="Candara"/>
          <w:spacing w:val="-8"/>
          <w:sz w:val="24"/>
          <w:szCs w:val="24"/>
        </w:rPr>
        <w:t>2008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年王勇教授入选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18"/>
          <w:sz w:val="24"/>
          <w:szCs w:val="24"/>
        </w:rPr>
        <w:t>教</w:t>
      </w:r>
      <w:r>
        <w:rPr>
          <w:rFonts w:ascii="华文楷体" w:hAnsi="华文楷体" w:eastAsia="华文楷体" w:cs="华文楷体"/>
          <w:spacing w:val="-17"/>
          <w:sz w:val="24"/>
          <w:szCs w:val="24"/>
        </w:rPr>
        <w:t>育</w:t>
      </w:r>
      <w:r>
        <w:rPr>
          <w:rFonts w:ascii="华文楷体" w:hAnsi="华文楷体" w:eastAsia="华文楷体" w:cs="华文楷体"/>
          <w:spacing w:val="-9"/>
          <w:sz w:val="24"/>
          <w:szCs w:val="24"/>
        </w:rPr>
        <w:t>部“新世纪优秀人才计划”，   《中美经贸关系》获得</w:t>
      </w:r>
      <w:r>
        <w:rPr>
          <w:rFonts w:ascii="Candara" w:hAnsi="Candara" w:eastAsia="Candara" w:cs="Candara"/>
          <w:spacing w:val="-9"/>
          <w:sz w:val="24"/>
          <w:szCs w:val="24"/>
        </w:rPr>
        <w:t>2008</w:t>
      </w:r>
      <w:r>
        <w:rPr>
          <w:rFonts w:ascii="华文楷体" w:hAnsi="华文楷体" w:eastAsia="华文楷体" w:cs="华文楷体"/>
          <w:spacing w:val="-9"/>
          <w:sz w:val="24"/>
          <w:szCs w:val="24"/>
        </w:rPr>
        <w:t>年北京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6"/>
          <w:sz w:val="24"/>
          <w:szCs w:val="24"/>
        </w:rPr>
        <w:t>市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社</w:t>
      </w:r>
      <w:r>
        <w:rPr>
          <w:rFonts w:ascii="华文楷体" w:hAnsi="华文楷体" w:eastAsia="华文楷体" w:cs="华文楷体"/>
          <w:spacing w:val="-3"/>
          <w:sz w:val="24"/>
          <w:szCs w:val="24"/>
        </w:rPr>
        <w:t>会科学成果一等奖。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4" w:after="0" w:afterLines="50" w:line="252" w:lineRule="auto"/>
        <w:ind w:left="1939" w:right="68" w:firstLine="505"/>
        <w:textAlignment w:val="baseline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王勇教授曾应邀在世界贸易组织(</w:t>
      </w:r>
      <w:r>
        <w:rPr>
          <w:rFonts w:ascii="Candara" w:hAnsi="Candara" w:eastAsia="Candara" w:cs="Candara"/>
          <w:sz w:val="24"/>
          <w:szCs w:val="24"/>
        </w:rPr>
        <w:t>WTO</w:t>
      </w:r>
      <w:r>
        <w:rPr>
          <w:rFonts w:ascii="华文楷体" w:hAnsi="华文楷体" w:eastAsia="华文楷体" w:cs="华文楷体"/>
          <w:spacing w:val="2"/>
          <w:sz w:val="24"/>
          <w:szCs w:val="24"/>
        </w:rPr>
        <w:t>)  、世界银行、亚洲开</w:t>
      </w:r>
      <w:r>
        <w:rPr>
          <w:rFonts w:ascii="华文楷体" w:hAnsi="华文楷体" w:eastAsia="华文楷体" w:cs="华文楷体"/>
          <w:spacing w:val="1"/>
          <w:sz w:val="24"/>
          <w:szCs w:val="24"/>
        </w:rPr>
        <w:t>发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6"/>
          <w:sz w:val="24"/>
          <w:szCs w:val="24"/>
        </w:rPr>
        <w:t>银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行、哈佛大学、斯坦福大学、加州大学洛杉矶分校、美国国际战略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3"/>
          <w:sz w:val="24"/>
          <w:szCs w:val="24"/>
        </w:rPr>
        <w:t>研</w:t>
      </w:r>
      <w:r>
        <w:rPr>
          <w:rFonts w:ascii="华文楷体" w:hAnsi="华文楷体" w:eastAsia="华文楷体" w:cs="华文楷体"/>
          <w:spacing w:val="2"/>
          <w:sz w:val="24"/>
          <w:szCs w:val="24"/>
        </w:rPr>
        <w:t>究中心(</w:t>
      </w:r>
      <w:r>
        <w:rPr>
          <w:rFonts w:ascii="Candara" w:hAnsi="Candara" w:eastAsia="Candara" w:cs="Candara"/>
          <w:sz w:val="24"/>
          <w:szCs w:val="24"/>
        </w:rPr>
        <w:t>CSIS</w:t>
      </w:r>
      <w:r>
        <w:rPr>
          <w:rFonts w:ascii="华文楷体" w:hAnsi="华文楷体" w:eastAsia="华文楷体" w:cs="华文楷体"/>
          <w:spacing w:val="2"/>
          <w:sz w:val="24"/>
          <w:szCs w:val="24"/>
        </w:rPr>
        <w:t xml:space="preserve">)  、美中贸易全国委员会、多伦多大学、  </w:t>
      </w:r>
      <w:r>
        <w:rPr>
          <w:rFonts w:ascii="Candara" w:hAnsi="Candara" w:eastAsia="Candara" w:cs="Candara"/>
          <w:sz w:val="24"/>
          <w:szCs w:val="24"/>
        </w:rPr>
        <w:t>UBC</w:t>
      </w:r>
      <w:r>
        <w:rPr>
          <w:rFonts w:ascii="华文楷体" w:hAnsi="华文楷体" w:eastAsia="华文楷体" w:cs="华文楷体"/>
          <w:spacing w:val="2"/>
          <w:sz w:val="24"/>
          <w:szCs w:val="24"/>
        </w:rPr>
        <w:t>、法国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6"/>
          <w:sz w:val="24"/>
          <w:szCs w:val="24"/>
        </w:rPr>
        <w:t>国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际关系研究所、日本早稻田大学、庆应大学、日本防务研究所、德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6"/>
          <w:sz w:val="24"/>
          <w:szCs w:val="24"/>
        </w:rPr>
        <w:t>国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工商产业协会、拉美社会科学院、南非国际事务研究所、澳大利亚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6"/>
          <w:sz w:val="24"/>
          <w:szCs w:val="24"/>
        </w:rPr>
        <w:t>罗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伊国际政策研究所等机构演讲。曾多次代表中国智库参加“二十国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28"/>
          <w:sz w:val="24"/>
          <w:szCs w:val="24"/>
        </w:rPr>
        <w:t>集团”(</w:t>
      </w:r>
      <w:r>
        <w:rPr>
          <w:rFonts w:ascii="Candara" w:hAnsi="Candara" w:eastAsia="Candara" w:cs="Candara"/>
          <w:sz w:val="24"/>
          <w:szCs w:val="24"/>
        </w:rPr>
        <w:t>G</w:t>
      </w:r>
      <w:r>
        <w:rPr>
          <w:rFonts w:ascii="Candara" w:hAnsi="Candara" w:eastAsia="Candara" w:cs="Candara"/>
          <w:spacing w:val="28"/>
          <w:sz w:val="24"/>
          <w:szCs w:val="24"/>
        </w:rPr>
        <w:t>20</w:t>
      </w:r>
      <w:r>
        <w:rPr>
          <w:rFonts w:ascii="华文楷体" w:hAnsi="华文楷体" w:eastAsia="华文楷体" w:cs="华文楷体"/>
          <w:spacing w:val="28"/>
          <w:sz w:val="24"/>
          <w:szCs w:val="24"/>
        </w:rPr>
        <w:t>)智库峰会(</w:t>
      </w:r>
      <w:r>
        <w:rPr>
          <w:rFonts w:ascii="Candara" w:hAnsi="Candara" w:eastAsia="Candara" w:cs="Candara"/>
          <w:sz w:val="24"/>
          <w:szCs w:val="24"/>
        </w:rPr>
        <w:t>Think</w:t>
      </w:r>
      <w:r>
        <w:rPr>
          <w:rFonts w:ascii="Candara" w:hAnsi="Candara" w:eastAsia="Candara" w:cs="Candara"/>
          <w:spacing w:val="28"/>
          <w:sz w:val="24"/>
          <w:szCs w:val="24"/>
        </w:rPr>
        <w:t>20</w:t>
      </w:r>
      <w:r>
        <w:rPr>
          <w:rFonts w:ascii="华文楷体" w:hAnsi="华文楷体" w:eastAsia="华文楷体" w:cs="华文楷体"/>
          <w:spacing w:val="28"/>
          <w:sz w:val="24"/>
          <w:szCs w:val="24"/>
        </w:rPr>
        <w:t>)会议并发表演讲</w:t>
      </w:r>
      <w:r>
        <w:rPr>
          <w:rFonts w:ascii="华文楷体" w:hAnsi="华文楷体" w:eastAsia="华文楷体" w:cs="华文楷体"/>
          <w:spacing w:val="25"/>
          <w:sz w:val="24"/>
          <w:szCs w:val="24"/>
        </w:rPr>
        <w:t>。</w:t>
      </w:r>
    </w:p>
    <w:p>
      <w:r>
        <w:drawing>
          <wp:anchor distT="0" distB="0" distL="0" distR="0" simplePos="0" relativeHeight="251661312" behindDoc="0" locked="0" layoutInCell="0" allowOverlap="1">
            <wp:simplePos x="0" y="0"/>
            <wp:positionH relativeFrom="page">
              <wp:posOffset>906145</wp:posOffset>
            </wp:positionH>
            <wp:positionV relativeFrom="page">
              <wp:posOffset>7390130</wp:posOffset>
            </wp:positionV>
            <wp:extent cx="5761990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61939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134" w:lineRule="exact"/>
      </w:pPr>
    </w:p>
    <w:p>
      <w:pPr>
        <w:sectPr>
          <w:headerReference r:id="rId7" w:type="default"/>
          <w:footerReference r:id="rId8" w:type="default"/>
          <w:pgSz w:w="11907" w:h="16839"/>
          <w:pgMar w:top="1552" w:right="1400" w:bottom="978" w:left="1416" w:header="1247" w:footer="81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090"/>
          </w:cols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619" w:lineRule="exact"/>
        <w:ind w:firstLine="227"/>
        <w:textAlignment w:val="center"/>
      </w:pPr>
      <w:r>
        <w:drawing>
          <wp:inline distT="0" distB="0" distL="0" distR="0">
            <wp:extent cx="827405" cy="1078230"/>
            <wp:effectExtent l="0" t="0" r="10795" b="762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827405" cy="107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212" w:lineRule="auto"/>
        <w:ind w:left="493"/>
        <w:textAlignment w:val="baseline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刘</w:t>
      </w:r>
      <w:r>
        <w:rPr>
          <w:rFonts w:ascii="华文楷体" w:hAnsi="华文楷体" w:eastAsia="华文楷体" w:cs="华文楷体"/>
          <w:spacing w:val="-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铁娃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18" w:line="207" w:lineRule="auto"/>
        <w:ind w:left="1564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2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《</w:t>
      </w:r>
      <w:r>
        <w:rPr>
          <w:rFonts w:ascii="华文楷体" w:hAnsi="华文楷体" w:eastAsia="华文楷体" w:cs="华文楷体"/>
          <w:spacing w:val="1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国际组织与全球治理》主讲师</w:t>
      </w:r>
    </w:p>
    <w:p>
      <w:pPr>
        <w:tabs>
          <w:tab w:val="left" w:pos="2870"/>
        </w:tabs>
        <w:spacing w:before="57" w:line="198" w:lineRule="auto"/>
        <w:ind w:left="2730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z w:val="28"/>
          <w:szCs w:val="28"/>
        </w:rPr>
        <w:tab/>
      </w:r>
      <w:r>
        <w:rPr>
          <w:rFonts w:ascii="华文楷体" w:hAnsi="华文楷体" w:eastAsia="华文楷体" w:cs="华文楷体"/>
          <w:spacing w:val="7"/>
          <w:sz w:val="28"/>
          <w:szCs w:val="28"/>
        </w:rPr>
        <w:t>(春季学期)</w:t>
      </w:r>
    </w:p>
    <w:p>
      <w:pPr>
        <w:spacing w:before="72" w:line="261" w:lineRule="auto"/>
        <w:ind w:right="72" w:firstLine="497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5"/>
          <w:sz w:val="24"/>
          <w:szCs w:val="24"/>
        </w:rPr>
        <w:t>现任北京外国语大学北外学院副院长、副教授。日本早稻田大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学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20"/>
          <w:sz w:val="24"/>
          <w:szCs w:val="24"/>
        </w:rPr>
        <w:t>国际</w:t>
      </w:r>
      <w:r>
        <w:rPr>
          <w:rFonts w:ascii="华文楷体" w:hAnsi="华文楷体" w:eastAsia="华文楷体" w:cs="华文楷体"/>
          <w:spacing w:val="-12"/>
          <w:sz w:val="24"/>
          <w:szCs w:val="24"/>
        </w:rPr>
        <w:t>关</w:t>
      </w:r>
      <w:r>
        <w:rPr>
          <w:rFonts w:ascii="华文楷体" w:hAnsi="华文楷体" w:eastAsia="华文楷体" w:cs="华文楷体"/>
          <w:spacing w:val="-10"/>
          <w:sz w:val="24"/>
          <w:szCs w:val="24"/>
        </w:rPr>
        <w:t>系学博士，  北京大学法学博士，  专业方向为联合国与国际组织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3"/>
          <w:sz w:val="24"/>
          <w:szCs w:val="24"/>
        </w:rPr>
        <w:t>研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究。</w:t>
      </w:r>
    </w:p>
    <w:p>
      <w:pPr>
        <w:spacing w:before="59" w:line="227" w:lineRule="auto"/>
        <w:ind w:left="10" w:firstLine="529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12"/>
          <w:sz w:val="24"/>
          <w:szCs w:val="24"/>
        </w:rPr>
        <w:t>目前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主</w:t>
      </w:r>
      <w:r>
        <w:rPr>
          <w:rFonts w:ascii="华文楷体" w:hAnsi="华文楷体" w:eastAsia="华文楷体" w:cs="华文楷体"/>
          <w:spacing w:val="-6"/>
          <w:sz w:val="24"/>
          <w:szCs w:val="24"/>
        </w:rPr>
        <w:t>要学术兼职为中国联合国协会理事、日内瓦南方中心国际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组织访</w:t>
      </w:r>
      <w:r>
        <w:rPr>
          <w:rFonts w:ascii="华文楷体" w:hAnsi="华文楷体" w:eastAsia="华文楷体" w:cs="华文楷体"/>
          <w:spacing w:val="-5"/>
          <w:sz w:val="24"/>
          <w:szCs w:val="24"/>
        </w:rPr>
        <w:t>问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专家、中国联合国教科文组织全国委员会咨询专家。出版专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11"/>
          <w:sz w:val="24"/>
          <w:szCs w:val="24"/>
        </w:rPr>
        <w:t>著译著六部，  在国内外知名刊物上发表论文数十篇，  承担教育部、</w:t>
      </w:r>
      <w:r>
        <w:rPr>
          <w:rFonts w:ascii="华文楷体" w:hAnsi="华文楷体" w:eastAsia="华文楷体" w:cs="华文楷体"/>
          <w:spacing w:val="-10"/>
          <w:sz w:val="24"/>
          <w:szCs w:val="24"/>
        </w:rPr>
        <w:t>外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24"/>
          <w:sz w:val="24"/>
          <w:szCs w:val="24"/>
        </w:rPr>
        <w:t>交部</w:t>
      </w:r>
      <w:r>
        <w:rPr>
          <w:rFonts w:ascii="华文楷体" w:hAnsi="华文楷体" w:eastAsia="华文楷体" w:cs="华文楷体"/>
          <w:spacing w:val="-12"/>
          <w:sz w:val="24"/>
          <w:szCs w:val="24"/>
        </w:rPr>
        <w:t>、北京市人民政府的多项课题，  曾在美国、英国、德国、比利时、</w:t>
      </w:r>
    </w:p>
    <w:p>
      <w:pPr>
        <w:sectPr>
          <w:type w:val="continuous"/>
          <w:pgSz w:w="11907" w:h="16839"/>
          <w:pgMar w:top="1552" w:right="1400" w:bottom="978" w:left="1416" w:header="427" w:footer="81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1839" w:space="100"/>
            <w:col w:w="7152"/>
          </w:cols>
        </w:sectPr>
      </w:pPr>
    </w:p>
    <w:p>
      <w:pPr>
        <w:spacing w:line="294" w:lineRule="auto"/>
        <w:rPr>
          <w:rFonts w:ascii="Arial"/>
          <w:sz w:val="21"/>
        </w:rPr>
      </w:pPr>
    </w:p>
    <w:p>
      <w:pPr>
        <w:spacing w:before="88" w:line="265" w:lineRule="auto"/>
        <w:ind w:left="1956" w:right="59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8"/>
          <w:sz w:val="24"/>
          <w:szCs w:val="24"/>
        </w:rPr>
        <w:t>澳大利亚、</w:t>
      </w:r>
      <w:r>
        <w:rPr>
          <w:rFonts w:ascii="华文楷体" w:hAnsi="华文楷体" w:eastAsia="华文楷体" w:cs="华文楷体"/>
          <w:spacing w:val="-6"/>
          <w:sz w:val="24"/>
          <w:szCs w:val="24"/>
        </w:rPr>
        <w:t>挪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威、新加坡、日本、韩国、印尼、柬埔寨、埃塞俄比亚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等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国访问并参加学术活动。</w:t>
      </w:r>
    </w:p>
    <w:p>
      <w:pPr>
        <w:spacing w:line="150" w:lineRule="exact"/>
      </w:pPr>
    </w:p>
    <w:tbl>
      <w:tblPr>
        <w:tblStyle w:val="7"/>
        <w:tblW w:w="9073" w:type="dxa"/>
        <w:tblInd w:w="0" w:type="dxa"/>
        <w:tblBorders>
          <w:top w:val="dashSmallGap" w:color="95B3D7" w:themeColor="accent1" w:themeTint="99" w:sz="4" w:space="0"/>
          <w:left w:val="none" w:color="auto" w:sz="0" w:space="0"/>
          <w:bottom w:val="dashSmallGap" w:color="95B3D7" w:themeColor="accent1" w:themeTint="99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7315"/>
      </w:tblGrid>
      <w:tr>
        <w:tblPrEx>
          <w:tblBorders>
            <w:top w:val="dashSmallGap" w:color="95B3D7" w:themeColor="accent1" w:themeTint="99" w:sz="4" w:space="0"/>
            <w:left w:val="none" w:color="auto" w:sz="0" w:space="0"/>
            <w:bottom w:val="dashSmallGap" w:color="95B3D7" w:themeColor="accent1" w:themeTint="99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8" w:hRule="atLeast"/>
        </w:trPr>
        <w:tc>
          <w:tcPr>
            <w:tcW w:w="1758" w:type="dxa"/>
            <w:tcBorders>
              <w:bottom w:val="dashSmallGap" w:color="95B3D7" w:themeColor="accent1" w:themeTint="99" w:sz="4" w:space="0"/>
            </w:tcBorders>
            <w:vAlign w:val="top"/>
          </w:tcPr>
          <w:p>
            <w:pPr>
              <w:rPr>
                <w:rFonts w:ascii="Arial"/>
                <w:sz w:val="16"/>
                <w:szCs w:val="16"/>
              </w:rPr>
            </w:pPr>
          </w:p>
          <w:p>
            <w:pPr>
              <w:spacing w:line="1944" w:lineRule="exact"/>
              <w:ind w:firstLine="197"/>
              <w:textAlignment w:val="center"/>
            </w:pPr>
            <w:r>
              <w:drawing>
                <wp:inline distT="0" distB="0" distL="0" distR="0">
                  <wp:extent cx="862965" cy="1233805"/>
                  <wp:effectExtent l="0" t="0" r="0" b="0"/>
                  <wp:docPr id="13" name="IM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 1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599" cy="1234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12" w:lineRule="auto"/>
              <w:jc w:val="center"/>
              <w:textAlignment w:val="baseline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陈开和</w:t>
            </w:r>
          </w:p>
        </w:tc>
        <w:tc>
          <w:tcPr>
            <w:tcW w:w="7315" w:type="dxa"/>
            <w:tcBorders>
              <w:bottom w:val="dashSmallGap" w:color="95B3D7" w:themeColor="accent1" w:themeTint="99" w:sz="4" w:space="0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102" w:line="207" w:lineRule="auto"/>
              <w:ind w:left="2167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2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</w:t>
            </w:r>
            <w:r>
              <w:rPr>
                <w:rFonts w:ascii="华文楷体" w:hAnsi="华文楷体" w:eastAsia="华文楷体" w:cs="华文楷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国际公文写作》主讲师</w:t>
            </w:r>
          </w:p>
          <w:p>
            <w:pPr>
              <w:tabs>
                <w:tab w:val="left" w:pos="3051"/>
              </w:tabs>
              <w:spacing w:before="57" w:line="198" w:lineRule="auto"/>
              <w:ind w:left="2911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z w:val="28"/>
                <w:szCs w:val="28"/>
              </w:rPr>
              <w:tab/>
            </w:r>
            <w:r>
              <w:rPr>
                <w:rFonts w:ascii="华文楷体" w:hAnsi="华文楷体" w:eastAsia="华文楷体" w:cs="华文楷体"/>
                <w:spacing w:val="7"/>
                <w:sz w:val="28"/>
                <w:szCs w:val="28"/>
              </w:rPr>
              <w:t>(秋季学期)</w:t>
            </w:r>
          </w:p>
          <w:p>
            <w:pPr>
              <w:spacing w:before="68" w:line="261" w:lineRule="auto"/>
              <w:ind w:left="190" w:firstLine="482"/>
              <w:rPr>
                <w:rFonts w:ascii="华文楷体" w:hAnsi="华文楷体" w:eastAsia="华文楷体" w:cs="华文楷体"/>
                <w:sz w:val="23"/>
                <w:szCs w:val="23"/>
              </w:rPr>
            </w:pPr>
            <w:r>
              <w:rPr>
                <w:rFonts w:ascii="华文楷体" w:hAnsi="华文楷体" w:eastAsia="华文楷体" w:cs="华文楷体"/>
                <w:spacing w:val="-2"/>
                <w:sz w:val="23"/>
                <w:szCs w:val="23"/>
              </w:rPr>
              <w:t>现任北京大学新闻</w:t>
            </w:r>
            <w:r>
              <w:rPr>
                <w:rFonts w:ascii="华文楷体" w:hAnsi="华文楷体" w:eastAsia="华文楷体" w:cs="华文楷体"/>
                <w:spacing w:val="-1"/>
                <w:sz w:val="23"/>
                <w:szCs w:val="23"/>
              </w:rPr>
              <w:t>与传播学院副院长、新闻学系主任，  北京大学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-1"/>
                <w:sz w:val="23"/>
                <w:szCs w:val="23"/>
              </w:rPr>
              <w:t>文化与传播研究所所长，  兼任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中国记协理事、中国新闻史学会常务理  </w:t>
            </w:r>
            <w:r>
              <w:rPr>
                <w:rFonts w:ascii="华文楷体" w:hAnsi="华文楷体" w:eastAsia="华文楷体" w:cs="华文楷体"/>
                <w:spacing w:val="-1"/>
                <w:sz w:val="23"/>
                <w:szCs w:val="23"/>
              </w:rPr>
              <w:t>事、中国新闻史学会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外国新闻传播史研究委员会副会长，《新闻春秋》 </w:t>
            </w:r>
            <w:r>
              <w:rPr>
                <w:rFonts w:ascii="华文楷体" w:hAnsi="华文楷体" w:eastAsia="华文楷体" w:cs="华文楷体"/>
                <w:spacing w:val="-1"/>
                <w:sz w:val="23"/>
                <w:szCs w:val="23"/>
              </w:rPr>
              <w:t>杂志副主编。北京大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学国际政治系本、硕，  香港大学政治与公共行政  </w:t>
            </w:r>
            <w:r>
              <w:rPr>
                <w:rFonts w:ascii="华文楷体" w:hAnsi="华文楷体" w:eastAsia="华文楷体" w:cs="华文楷体"/>
                <w:spacing w:val="6"/>
                <w:sz w:val="23"/>
                <w:szCs w:val="23"/>
              </w:rPr>
              <w:t>系博士</w:t>
            </w:r>
            <w:r>
              <w:rPr>
                <w:rFonts w:ascii="华文楷体" w:hAnsi="华文楷体" w:eastAsia="华文楷体" w:cs="华文楷体"/>
                <w:spacing w:val="4"/>
                <w:sz w:val="23"/>
                <w:szCs w:val="23"/>
              </w:rPr>
              <w:t>。</w:t>
            </w:r>
            <w:r>
              <w:rPr>
                <w:rFonts w:ascii="华文楷体" w:hAnsi="华文楷体" w:eastAsia="华文楷体" w:cs="华文楷体"/>
                <w:spacing w:val="3"/>
                <w:sz w:val="23"/>
                <w:szCs w:val="23"/>
              </w:rPr>
              <w:t>曾赴美国、日本、韩国、瑞典、黎巴嫩、阿曼等多国参加学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-6"/>
                <w:sz w:val="23"/>
                <w:szCs w:val="23"/>
              </w:rPr>
              <w:t>术交流，  主要教</w:t>
            </w:r>
            <w:r>
              <w:rPr>
                <w:rFonts w:ascii="华文楷体" w:hAnsi="华文楷体" w:eastAsia="华文楷体" w:cs="华文楷体"/>
                <w:spacing w:val="-4"/>
                <w:sz w:val="23"/>
                <w:szCs w:val="23"/>
              </w:rPr>
              <w:t>学</w:t>
            </w:r>
            <w:r>
              <w:rPr>
                <w:rFonts w:ascii="华文楷体" w:hAnsi="华文楷体" w:eastAsia="华文楷体" w:cs="华文楷体"/>
                <w:spacing w:val="-3"/>
                <w:sz w:val="23"/>
                <w:szCs w:val="23"/>
              </w:rPr>
              <w:t>研究领域为跨国传播与国际关系；  外国新闻传播历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-2"/>
                <w:sz w:val="23"/>
                <w:szCs w:val="23"/>
              </w:rPr>
              <w:t xml:space="preserve">史与现状、媒体与两岸关系， </w:t>
            </w:r>
            <w:r>
              <w:rPr>
                <w:rFonts w:ascii="华文楷体" w:hAnsi="华文楷体" w:eastAsia="华文楷体" w:cs="华文楷体"/>
                <w:spacing w:val="-1"/>
                <w:sz w:val="23"/>
                <w:szCs w:val="23"/>
              </w:rPr>
              <w:t xml:space="preserve"> 讲授《媒体与国际关系》、《全球化与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  </w:t>
            </w:r>
            <w:r>
              <w:rPr>
                <w:rFonts w:ascii="华文楷体" w:hAnsi="华文楷体" w:eastAsia="华文楷体" w:cs="华文楷体"/>
                <w:spacing w:val="6"/>
                <w:sz w:val="23"/>
                <w:szCs w:val="23"/>
              </w:rPr>
              <w:t>传播》</w:t>
            </w:r>
            <w:r>
              <w:rPr>
                <w:rFonts w:ascii="华文楷体" w:hAnsi="华文楷体" w:eastAsia="华文楷体" w:cs="华文楷体"/>
                <w:spacing w:val="4"/>
                <w:sz w:val="23"/>
                <w:szCs w:val="23"/>
              </w:rPr>
              <w:t>、</w:t>
            </w:r>
            <w:r>
              <w:rPr>
                <w:rFonts w:ascii="华文楷体" w:hAnsi="华文楷体" w:eastAsia="华文楷体" w:cs="华文楷体"/>
                <w:spacing w:val="3"/>
                <w:sz w:val="23"/>
                <w:szCs w:val="23"/>
              </w:rPr>
              <w:t>《媒体与中国社会》、《世界新闻传播史》等课程。主持并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-12"/>
                <w:sz w:val="23"/>
                <w:szCs w:val="23"/>
              </w:rPr>
              <w:t>完成</w:t>
            </w:r>
            <w:r>
              <w:rPr>
                <w:rFonts w:ascii="华文楷体" w:hAnsi="华文楷体" w:eastAsia="华文楷体" w:cs="华文楷体"/>
                <w:spacing w:val="-8"/>
                <w:sz w:val="23"/>
                <w:szCs w:val="23"/>
              </w:rPr>
              <w:t>多</w:t>
            </w:r>
            <w:r>
              <w:rPr>
                <w:rFonts w:ascii="华文楷体" w:hAnsi="华文楷体" w:eastAsia="华文楷体" w:cs="华文楷体"/>
                <w:spacing w:val="-6"/>
                <w:sz w:val="23"/>
                <w:szCs w:val="23"/>
              </w:rPr>
              <w:t>个国家部委课题， 参与《我国对外传播文化软实力研究》、《百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6"/>
                <w:sz w:val="23"/>
                <w:szCs w:val="23"/>
              </w:rPr>
              <w:t>年未有</w:t>
            </w:r>
            <w:r>
              <w:rPr>
                <w:rFonts w:ascii="华文楷体" w:hAnsi="华文楷体" w:eastAsia="华文楷体" w:cs="华文楷体"/>
                <w:spacing w:val="4"/>
                <w:sz w:val="23"/>
                <w:szCs w:val="23"/>
              </w:rPr>
              <w:t>之</w:t>
            </w:r>
            <w:r>
              <w:rPr>
                <w:rFonts w:ascii="华文楷体" w:hAnsi="华文楷体" w:eastAsia="华文楷体" w:cs="华文楷体"/>
                <w:spacing w:val="3"/>
                <w:sz w:val="23"/>
                <w:szCs w:val="23"/>
              </w:rPr>
              <w:t>大变局下中国共产党形象全球传播与认同研究》等国家社科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10"/>
                <w:sz w:val="23"/>
                <w:szCs w:val="23"/>
              </w:rPr>
              <w:t>基金重</w:t>
            </w:r>
            <w:r>
              <w:rPr>
                <w:rFonts w:ascii="华文楷体" w:hAnsi="华文楷体" w:eastAsia="华文楷体" w:cs="华文楷体"/>
                <w:spacing w:val="6"/>
                <w:sz w:val="23"/>
                <w:szCs w:val="23"/>
              </w:rPr>
              <w:t>大</w:t>
            </w:r>
            <w:r>
              <w:rPr>
                <w:rFonts w:ascii="华文楷体" w:hAnsi="华文楷体" w:eastAsia="华文楷体" w:cs="华文楷体"/>
                <w:spacing w:val="5"/>
                <w:sz w:val="23"/>
                <w:szCs w:val="23"/>
              </w:rPr>
              <w:t>项目，多次担任中国新闻奖、长江韬奋奖评委。</w:t>
            </w:r>
          </w:p>
        </w:tc>
      </w:tr>
      <w:tr>
        <w:tblPrEx>
          <w:tblBorders>
            <w:top w:val="dashSmallGap" w:color="95B3D7" w:themeColor="accent1" w:themeTint="99" w:sz="4" w:space="0"/>
            <w:left w:val="none" w:color="auto" w:sz="0" w:space="0"/>
            <w:bottom w:val="dashSmallGap" w:color="95B3D7" w:themeColor="accent1" w:themeTint="99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5" w:hRule="atLeast"/>
        </w:trPr>
        <w:tc>
          <w:tcPr>
            <w:tcW w:w="1758" w:type="dxa"/>
            <w:tcBorders>
              <w:top w:val="dashSmallGap" w:color="95B3D7" w:themeColor="accent1" w:themeTint="99" w:sz="4" w:space="0"/>
              <w:tl2br w:val="nil"/>
              <w:tr2bl w:val="nil"/>
            </w:tcBorders>
            <w:vAlign w:val="top"/>
          </w:tcPr>
          <w:p>
            <w:pPr>
              <w:spacing w:line="389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before="1" w:line="1706" w:lineRule="exact"/>
              <w:ind w:firstLine="104"/>
              <w:textAlignment w:val="center"/>
              <w:rPr>
                <w:rFonts w:ascii="Arial"/>
                <w:sz w:val="21"/>
              </w:rPr>
            </w:pPr>
            <w:r>
              <w:drawing>
                <wp:inline distT="0" distB="0" distL="0" distR="0">
                  <wp:extent cx="935355" cy="108331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456" cy="1083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12" w:lineRule="auto"/>
              <w:jc w:val="center"/>
              <w:textAlignment w:val="baseline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9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陈敏鹏</w:t>
            </w:r>
          </w:p>
        </w:tc>
        <w:tc>
          <w:tcPr>
            <w:tcW w:w="7315" w:type="dxa"/>
            <w:tcBorders>
              <w:top w:val="dashSmallGap" w:color="95B3D7" w:themeColor="accent1" w:themeTint="99" w:sz="4" w:space="0"/>
              <w:tl2br w:val="nil"/>
              <w:tr2bl w:val="nil"/>
            </w:tcBorders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102" w:line="207" w:lineRule="auto"/>
              <w:ind w:left="1605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《气候变化与可持续发展》主讲师</w:t>
            </w:r>
          </w:p>
          <w:p>
            <w:pPr>
              <w:tabs>
                <w:tab w:val="left" w:pos="3051"/>
              </w:tabs>
              <w:spacing w:before="57" w:line="198" w:lineRule="auto"/>
              <w:ind w:left="2911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z w:val="28"/>
                <w:szCs w:val="28"/>
              </w:rPr>
              <w:tab/>
            </w:r>
            <w:r>
              <w:rPr>
                <w:rFonts w:ascii="华文楷体" w:hAnsi="华文楷体" w:eastAsia="华文楷体" w:cs="华文楷体"/>
                <w:spacing w:val="7"/>
                <w:sz w:val="28"/>
                <w:szCs w:val="28"/>
              </w:rPr>
              <w:t>(春季学期)</w:t>
            </w:r>
          </w:p>
          <w:p>
            <w:pPr>
              <w:spacing w:before="199" w:line="261" w:lineRule="auto"/>
              <w:ind w:left="182" w:firstLine="514"/>
              <w:rPr>
                <w:rFonts w:ascii="华文楷体" w:hAnsi="华文楷体" w:eastAsia="华文楷体" w:cs="华文楷体"/>
                <w:sz w:val="23"/>
                <w:szCs w:val="23"/>
              </w:rPr>
            </w:pPr>
            <w:r>
              <w:rPr>
                <w:rFonts w:ascii="华文楷体" w:hAnsi="华文楷体" w:eastAsia="华文楷体" w:cs="华文楷体"/>
                <w:spacing w:val="4"/>
                <w:sz w:val="23"/>
                <w:szCs w:val="23"/>
              </w:rPr>
              <w:t>中国人民大学农业与农村发展学院教授、博士生导师。中国</w:t>
            </w:r>
            <w:r>
              <w:rPr>
                <w:rFonts w:ascii="华文楷体" w:hAnsi="华文楷体" w:eastAsia="华文楷体" w:cs="华文楷体"/>
                <w:spacing w:val="2"/>
                <w:sz w:val="23"/>
                <w:szCs w:val="23"/>
              </w:rPr>
              <w:t>人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民 </w:t>
            </w:r>
            <w:r>
              <w:rPr>
                <w:rFonts w:ascii="华文楷体" w:hAnsi="华文楷体" w:eastAsia="华文楷体" w:cs="华文楷体"/>
                <w:spacing w:val="2"/>
                <w:sz w:val="23"/>
                <w:szCs w:val="23"/>
              </w:rPr>
              <w:t>大学经济学学士，  清华大学工</w:t>
            </w:r>
            <w:r>
              <w:rPr>
                <w:rFonts w:ascii="华文楷体" w:hAnsi="华文楷体" w:eastAsia="华文楷体" w:cs="华文楷体"/>
                <w:spacing w:val="1"/>
                <w:sz w:val="23"/>
                <w:szCs w:val="23"/>
              </w:rPr>
              <w:t>学博士。长期从事气候变化影响、风险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10"/>
                <w:sz w:val="23"/>
                <w:szCs w:val="23"/>
              </w:rPr>
              <w:t>与适</w:t>
            </w:r>
            <w:r>
              <w:rPr>
                <w:rFonts w:ascii="华文楷体" w:hAnsi="华文楷体" w:eastAsia="华文楷体" w:cs="华文楷体"/>
                <w:spacing w:val="7"/>
                <w:sz w:val="23"/>
                <w:szCs w:val="23"/>
              </w:rPr>
              <w:t>应</w:t>
            </w:r>
            <w:r>
              <w:rPr>
                <w:rFonts w:ascii="华文楷体" w:hAnsi="华文楷体" w:eastAsia="华文楷体" w:cs="华文楷体"/>
                <w:spacing w:val="5"/>
                <w:sz w:val="23"/>
                <w:szCs w:val="23"/>
              </w:rPr>
              <w:t>，农业减排和可持续性评估以及农业环境政策评估相关的交叉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5"/>
                <w:sz w:val="23"/>
                <w:szCs w:val="23"/>
              </w:rPr>
              <w:t>科学研究。目前担任世界适应科学计划(</w:t>
            </w:r>
            <w:r>
              <w:rPr>
                <w:rFonts w:ascii="Candara" w:hAnsi="Candara" w:eastAsia="Candara" w:cs="Candara"/>
                <w:sz w:val="23"/>
                <w:szCs w:val="23"/>
              </w:rPr>
              <w:t>WASP</w:t>
            </w:r>
            <w:r>
              <w:rPr>
                <w:rFonts w:ascii="华文楷体" w:hAnsi="华文楷体" w:eastAsia="华文楷体" w:cs="华文楷体"/>
                <w:spacing w:val="5"/>
                <w:sz w:val="23"/>
                <w:szCs w:val="23"/>
              </w:rPr>
              <w:t xml:space="preserve">)  联合主席，    </w:t>
            </w:r>
            <w:r>
              <w:rPr>
                <w:rFonts w:ascii="Candara" w:hAnsi="Candara" w:eastAsia="Candara" w:cs="Candara"/>
                <w:spacing w:val="5"/>
                <w:sz w:val="23"/>
                <w:szCs w:val="23"/>
              </w:rPr>
              <w:t xml:space="preserve">2021  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年 </w:t>
            </w:r>
            <w:r>
              <w:rPr>
                <w:rFonts w:ascii="华文楷体" w:hAnsi="华文楷体" w:eastAsia="华文楷体" w:cs="华文楷体"/>
                <w:spacing w:val="10"/>
                <w:sz w:val="23"/>
                <w:szCs w:val="23"/>
              </w:rPr>
              <w:t>入选</w:t>
            </w:r>
            <w:r>
              <w:rPr>
                <w:rFonts w:ascii="华文楷体" w:hAnsi="华文楷体" w:eastAsia="华文楷体" w:cs="华文楷体"/>
                <w:spacing w:val="5"/>
                <w:sz w:val="23"/>
                <w:szCs w:val="23"/>
              </w:rPr>
              <w:t>第三批国家生态环境保护专业技术青年拔尖人才；曾任联合国环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23"/>
                <w:sz w:val="23"/>
                <w:szCs w:val="23"/>
              </w:rPr>
              <w:t>境</w:t>
            </w:r>
            <w:r>
              <w:rPr>
                <w:rFonts w:ascii="华文楷体" w:hAnsi="华文楷体" w:eastAsia="华文楷体" w:cs="华文楷体"/>
                <w:spacing w:val="12"/>
                <w:sz w:val="23"/>
                <w:szCs w:val="23"/>
              </w:rPr>
              <w:t>规划署(</w:t>
            </w:r>
            <w:r>
              <w:rPr>
                <w:rFonts w:ascii="Candara" w:hAnsi="Candara" w:eastAsia="Candara" w:cs="Candara"/>
                <w:sz w:val="23"/>
                <w:szCs w:val="23"/>
              </w:rPr>
              <w:t>UNEP</w:t>
            </w:r>
            <w:r>
              <w:rPr>
                <w:rFonts w:ascii="华文楷体" w:hAnsi="华文楷体" w:eastAsia="华文楷体" w:cs="华文楷体"/>
                <w:spacing w:val="12"/>
                <w:sz w:val="23"/>
                <w:szCs w:val="23"/>
              </w:rPr>
              <w:t>)    《适应差距报告》科学委员会委员，《联合国气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2"/>
                <w:sz w:val="23"/>
                <w:szCs w:val="23"/>
              </w:rPr>
              <w:t>候变化框架公约》适应委</w:t>
            </w:r>
            <w:r>
              <w:rPr>
                <w:rFonts w:ascii="华文楷体" w:hAnsi="华文楷体" w:eastAsia="华文楷体" w:cs="华文楷体"/>
                <w:spacing w:val="1"/>
                <w:sz w:val="23"/>
                <w:szCs w:val="23"/>
              </w:rPr>
              <w:t xml:space="preserve">员会联合主席和委员，  </w:t>
            </w:r>
            <w:r>
              <w:rPr>
                <w:rFonts w:ascii="Candara" w:hAnsi="Candara" w:eastAsia="Candara" w:cs="Candara"/>
                <w:spacing w:val="1"/>
                <w:sz w:val="23"/>
                <w:szCs w:val="23"/>
              </w:rPr>
              <w:t>2014-2017</w:t>
            </w:r>
            <w:r>
              <w:rPr>
                <w:rFonts w:ascii="华文楷体" w:hAnsi="华文楷体" w:eastAsia="华文楷体" w:cs="华文楷体"/>
                <w:spacing w:val="1"/>
                <w:sz w:val="23"/>
                <w:szCs w:val="23"/>
              </w:rPr>
              <w:t>年作为中国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10"/>
                <w:sz w:val="23"/>
                <w:szCs w:val="23"/>
              </w:rPr>
              <w:t>代表</w:t>
            </w:r>
            <w:r>
              <w:rPr>
                <w:rFonts w:ascii="华文楷体" w:hAnsi="华文楷体" w:eastAsia="华文楷体" w:cs="华文楷体"/>
                <w:spacing w:val="5"/>
                <w:sz w:val="23"/>
                <w:szCs w:val="23"/>
              </w:rPr>
              <w:t>团成员参加《联合国气候变化框架公约》谈判。主持国家重点研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14"/>
                <w:sz w:val="23"/>
                <w:szCs w:val="23"/>
              </w:rPr>
              <w:t>发计</w:t>
            </w:r>
            <w:r>
              <w:rPr>
                <w:rFonts w:ascii="华文楷体" w:hAnsi="华文楷体" w:eastAsia="华文楷体" w:cs="华文楷体"/>
                <w:spacing w:val="11"/>
                <w:sz w:val="23"/>
                <w:szCs w:val="23"/>
              </w:rPr>
              <w:t>划</w:t>
            </w:r>
            <w:r>
              <w:rPr>
                <w:rFonts w:ascii="华文楷体" w:hAnsi="华文楷体" w:eastAsia="华文楷体" w:cs="华文楷体"/>
                <w:spacing w:val="7"/>
                <w:sz w:val="23"/>
                <w:szCs w:val="23"/>
              </w:rPr>
              <w:t>课题、国家自然科学基金项目、国家发委应对气候变化专项、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4"/>
                <w:sz w:val="23"/>
                <w:szCs w:val="23"/>
              </w:rPr>
              <w:t>农业部基本科研业务</w:t>
            </w:r>
            <w:r>
              <w:rPr>
                <w:rFonts w:ascii="华文楷体" w:hAnsi="华文楷体" w:eastAsia="华文楷体" w:cs="华文楷体"/>
                <w:spacing w:val="-2"/>
                <w:sz w:val="23"/>
                <w:szCs w:val="23"/>
              </w:rPr>
              <w:t>费等项目</w:t>
            </w:r>
            <w:r>
              <w:rPr>
                <w:rFonts w:ascii="Candara" w:hAnsi="Candara" w:eastAsia="Candara" w:cs="Candara"/>
                <w:spacing w:val="-2"/>
                <w:sz w:val="23"/>
                <w:szCs w:val="23"/>
              </w:rPr>
              <w:t xml:space="preserve">20 </w:t>
            </w:r>
            <w:r>
              <w:rPr>
                <w:rFonts w:ascii="华文楷体" w:hAnsi="华文楷体" w:eastAsia="华文楷体" w:cs="华文楷体"/>
                <w:spacing w:val="-2"/>
                <w:sz w:val="23"/>
                <w:szCs w:val="23"/>
              </w:rPr>
              <w:t>余项；  已发表论文</w:t>
            </w:r>
            <w:r>
              <w:rPr>
                <w:rFonts w:ascii="Candara" w:hAnsi="Candara" w:eastAsia="Candara" w:cs="Candara"/>
                <w:spacing w:val="-2"/>
                <w:sz w:val="23"/>
                <w:szCs w:val="23"/>
              </w:rPr>
              <w:t>60</w:t>
            </w:r>
            <w:r>
              <w:rPr>
                <w:rFonts w:ascii="华文楷体" w:hAnsi="华文楷体" w:eastAsia="华文楷体" w:cs="华文楷体"/>
                <w:spacing w:val="-2"/>
                <w:sz w:val="23"/>
                <w:szCs w:val="23"/>
              </w:rPr>
              <w:t>余篇， 提交决策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1"/>
                <w:sz w:val="23"/>
                <w:szCs w:val="23"/>
              </w:rPr>
              <w:t>建议</w:t>
            </w:r>
            <w:r>
              <w:rPr>
                <w:rFonts w:ascii="华文楷体" w:hAnsi="华文楷体" w:eastAsia="华文楷体" w:cs="华文楷体"/>
                <w:sz w:val="23"/>
                <w:szCs w:val="23"/>
              </w:rPr>
              <w:t>多项。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headerReference r:id="rId9" w:type="default"/>
          <w:footerReference r:id="rId10" w:type="default"/>
          <w:pgSz w:w="11907" w:h="16839"/>
          <w:pgMar w:top="1552" w:right="1415" w:bottom="979" w:left="1416" w:header="1247" w:footer="81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/>
    <w:p>
      <w:pPr>
        <w:spacing w:line="21" w:lineRule="exact"/>
      </w:pPr>
    </w:p>
    <w:p>
      <w:pPr>
        <w:sectPr>
          <w:headerReference r:id="rId11" w:type="default"/>
          <w:footerReference r:id="rId12" w:type="default"/>
          <w:pgSz w:w="11907" w:h="16839"/>
          <w:pgMar w:top="1552" w:right="1395" w:bottom="979" w:left="1416" w:header="1191" w:footer="81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095"/>
          </w:cols>
        </w:sectPr>
      </w:pPr>
    </w:p>
    <w:p>
      <w:pPr>
        <w:spacing w:before="56" w:line="1497" w:lineRule="exact"/>
        <w:ind w:firstLine="127"/>
        <w:textAlignment w:val="center"/>
      </w:pPr>
      <w:r>
        <w:drawing>
          <wp:inline distT="0" distB="0" distL="0" distR="0">
            <wp:extent cx="951230" cy="95059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212" w:lineRule="auto"/>
        <w:ind w:left="612"/>
        <w:textAlignment w:val="baseline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4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何静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15" w:line="207" w:lineRule="auto"/>
        <w:ind w:left="1843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《英语演讲与辩论》</w:t>
      </w:r>
      <w:r>
        <w:rPr>
          <w:rFonts w:ascii="华文楷体" w:hAnsi="华文楷体" w:eastAsia="华文楷体" w:cs="华文楷体"/>
          <w:spacing w:val="-9"/>
          <w:sz w:val="28"/>
          <w:szCs w:val="28"/>
        </w:rPr>
        <w:t xml:space="preserve">  </w:t>
      </w:r>
      <w:r>
        <w:rPr>
          <w:rFonts w:ascii="华文楷体" w:hAnsi="华文楷体" w:eastAsia="华文楷体" w:cs="华文楷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主讲师</w:t>
      </w:r>
    </w:p>
    <w:p>
      <w:pPr>
        <w:tabs>
          <w:tab w:val="left" w:pos="2867"/>
        </w:tabs>
        <w:spacing w:before="57" w:line="198" w:lineRule="auto"/>
        <w:ind w:left="2728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z w:val="28"/>
          <w:szCs w:val="28"/>
        </w:rPr>
        <w:tab/>
      </w:r>
      <w:r>
        <w:rPr>
          <w:rFonts w:ascii="华文楷体" w:hAnsi="华文楷体" w:eastAsia="华文楷体" w:cs="华文楷体"/>
          <w:spacing w:val="8"/>
          <w:sz w:val="28"/>
          <w:szCs w:val="28"/>
        </w:rPr>
        <w:t>(</w:t>
      </w:r>
      <w:r>
        <w:rPr>
          <w:rFonts w:ascii="华文楷体" w:hAnsi="华文楷体" w:eastAsia="华文楷体" w:cs="华文楷体"/>
          <w:spacing w:val="7"/>
          <w:sz w:val="28"/>
          <w:szCs w:val="28"/>
        </w:rPr>
        <w:t>春季学期)</w:t>
      </w:r>
    </w:p>
    <w:p>
      <w:pPr>
        <w:spacing w:before="198" w:line="248" w:lineRule="auto"/>
        <w:ind w:right="76" w:firstLine="509"/>
        <w:rPr>
          <w:rFonts w:ascii="华文楷体" w:hAnsi="华文楷体" w:eastAsia="华文楷体" w:cs="华文楷体"/>
          <w:sz w:val="23"/>
          <w:szCs w:val="23"/>
        </w:rPr>
      </w:pPr>
      <w:r>
        <w:rPr>
          <w:rFonts w:ascii="华文楷体" w:hAnsi="华文楷体" w:eastAsia="华文楷体" w:cs="华文楷体"/>
          <w:spacing w:val="8"/>
          <w:sz w:val="23"/>
          <w:szCs w:val="23"/>
        </w:rPr>
        <w:t>现任复</w:t>
      </w:r>
      <w:r>
        <w:rPr>
          <w:rFonts w:ascii="华文楷体" w:hAnsi="华文楷体" w:eastAsia="华文楷体" w:cs="华文楷体"/>
          <w:spacing w:val="7"/>
          <w:sz w:val="23"/>
          <w:szCs w:val="23"/>
        </w:rPr>
        <w:t>旦</w:t>
      </w:r>
      <w:r>
        <w:rPr>
          <w:rFonts w:ascii="华文楷体" w:hAnsi="华文楷体" w:eastAsia="华文楷体" w:cs="华文楷体"/>
          <w:spacing w:val="4"/>
          <w:sz w:val="23"/>
          <w:szCs w:val="23"/>
        </w:rPr>
        <w:t>大学外国语学院副教授。复旦大学语言学博士。复旦大</w:t>
      </w:r>
      <w:r>
        <w:rPr>
          <w:rFonts w:ascii="华文楷体" w:hAnsi="华文楷体" w:eastAsia="华文楷体" w:cs="华文楷体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6"/>
          <w:sz w:val="23"/>
          <w:szCs w:val="23"/>
        </w:rPr>
        <w:t>学外文学院演讲与辩论中心副主任，复旦大学教师与教学发展中心</w:t>
      </w:r>
      <w:r>
        <w:rPr>
          <w:rFonts w:ascii="华文楷体" w:hAnsi="华文楷体" w:eastAsia="华文楷体" w:cs="华文楷体"/>
          <w:spacing w:val="2"/>
          <w:sz w:val="23"/>
          <w:szCs w:val="23"/>
        </w:rPr>
        <w:t>外</w:t>
      </w:r>
      <w:r>
        <w:rPr>
          <w:rFonts w:ascii="华文楷体" w:hAnsi="华文楷体" w:eastAsia="华文楷体" w:cs="华文楷体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-2"/>
          <w:sz w:val="23"/>
          <w:szCs w:val="23"/>
        </w:rPr>
        <w:t>文学院分中心副主任，  复旦大学英语辩论</w:t>
      </w:r>
      <w:r>
        <w:rPr>
          <w:rFonts w:ascii="华文楷体" w:hAnsi="华文楷体" w:eastAsia="华文楷体" w:cs="华文楷体"/>
          <w:spacing w:val="-1"/>
          <w:sz w:val="23"/>
          <w:szCs w:val="23"/>
        </w:rPr>
        <w:t>与演讲社团指导教师，  全国</w:t>
      </w:r>
      <w:r>
        <w:rPr>
          <w:rFonts w:ascii="华文楷体" w:hAnsi="华文楷体" w:eastAsia="华文楷体" w:cs="华文楷体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3"/>
          <w:sz w:val="23"/>
          <w:szCs w:val="23"/>
        </w:rPr>
        <w:t xml:space="preserve">英语思辨教学首批功勋培训师。  </w:t>
      </w:r>
      <w:r>
        <w:rPr>
          <w:rFonts w:ascii="Candara" w:hAnsi="Candara" w:eastAsia="Candara" w:cs="Candara"/>
          <w:spacing w:val="3"/>
          <w:sz w:val="23"/>
          <w:szCs w:val="23"/>
        </w:rPr>
        <w:t>2015</w:t>
      </w:r>
      <w:r>
        <w:rPr>
          <w:rFonts w:ascii="华文楷体" w:hAnsi="华文楷体" w:eastAsia="华文楷体" w:cs="华文楷体"/>
          <w:spacing w:val="3"/>
          <w:sz w:val="23"/>
          <w:szCs w:val="23"/>
        </w:rPr>
        <w:t>年“演讲的艺术”全国高校</w:t>
      </w:r>
      <w:r>
        <w:rPr>
          <w:rFonts w:ascii="华文楷体" w:hAnsi="华文楷体" w:eastAsia="华文楷体" w:cs="华文楷体"/>
          <w:sz w:val="23"/>
          <w:szCs w:val="23"/>
        </w:rPr>
        <w:t xml:space="preserve">英语 </w:t>
      </w:r>
      <w:r>
        <w:rPr>
          <w:rFonts w:ascii="华文楷体" w:hAnsi="华文楷体" w:eastAsia="华文楷体" w:cs="华文楷体"/>
          <w:spacing w:val="12"/>
          <w:sz w:val="23"/>
          <w:szCs w:val="23"/>
        </w:rPr>
        <w:t>演讲教学大赛亚军(全国第二名)  ，</w:t>
      </w:r>
      <w:r>
        <w:rPr>
          <w:rFonts w:ascii="Candara" w:hAnsi="Candara" w:eastAsia="Candara" w:cs="Candara"/>
          <w:spacing w:val="12"/>
          <w:sz w:val="23"/>
          <w:szCs w:val="23"/>
        </w:rPr>
        <w:t>2016</w:t>
      </w:r>
      <w:r>
        <w:rPr>
          <w:rFonts w:ascii="华文楷体" w:hAnsi="华文楷体" w:eastAsia="华文楷体" w:cs="华文楷体"/>
          <w:spacing w:val="12"/>
          <w:sz w:val="23"/>
          <w:szCs w:val="23"/>
        </w:rPr>
        <w:t>年全国高校英语思辨教学大</w:t>
      </w:r>
      <w:r>
        <w:rPr>
          <w:rFonts w:ascii="华文楷体" w:hAnsi="华文楷体" w:eastAsia="华文楷体" w:cs="华文楷体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2"/>
          <w:sz w:val="23"/>
          <w:szCs w:val="23"/>
        </w:rPr>
        <w:t>赛一等奖。所指导学生多次获得全国及国际英语辩论赛冠军，  所</w:t>
      </w:r>
      <w:r>
        <w:rPr>
          <w:rFonts w:ascii="华文楷体" w:hAnsi="华文楷体" w:eastAsia="华文楷体" w:cs="华文楷体"/>
          <w:spacing w:val="1"/>
          <w:sz w:val="23"/>
          <w:szCs w:val="23"/>
        </w:rPr>
        <w:t>开</w:t>
      </w:r>
      <w:r>
        <w:rPr>
          <w:rFonts w:ascii="华文楷体" w:hAnsi="华文楷体" w:eastAsia="华文楷体" w:cs="华文楷体"/>
          <w:sz w:val="23"/>
          <w:szCs w:val="23"/>
        </w:rPr>
        <w:t xml:space="preserve">设 </w:t>
      </w:r>
      <w:r>
        <w:rPr>
          <w:rFonts w:ascii="华文楷体" w:hAnsi="华文楷体" w:eastAsia="华文楷体" w:cs="华文楷体"/>
          <w:spacing w:val="-2"/>
          <w:sz w:val="23"/>
          <w:szCs w:val="23"/>
        </w:rPr>
        <w:t xml:space="preserve">《英语论辩与思辨》为复旦大学精品课程， </w:t>
      </w:r>
      <w:r>
        <w:rPr>
          <w:rFonts w:ascii="华文楷体" w:hAnsi="华文楷体" w:eastAsia="华文楷体" w:cs="华文楷体"/>
          <w:spacing w:val="-1"/>
          <w:sz w:val="23"/>
          <w:szCs w:val="23"/>
        </w:rPr>
        <w:t xml:space="preserve"> 上海市重点课程，  上海市</w:t>
      </w:r>
      <w:r>
        <w:rPr>
          <w:rFonts w:ascii="华文楷体" w:hAnsi="华文楷体" w:eastAsia="华文楷体" w:cs="华文楷体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6"/>
          <w:sz w:val="23"/>
          <w:szCs w:val="23"/>
        </w:rPr>
        <w:t>教委一</w:t>
      </w:r>
      <w:r>
        <w:rPr>
          <w:rFonts w:ascii="华文楷体" w:hAnsi="华文楷体" w:eastAsia="华文楷体" w:cs="华文楷体"/>
          <w:spacing w:val="4"/>
          <w:sz w:val="23"/>
          <w:szCs w:val="23"/>
        </w:rPr>
        <w:t>流</w:t>
      </w:r>
      <w:r>
        <w:rPr>
          <w:rFonts w:ascii="华文楷体" w:hAnsi="华文楷体" w:eastAsia="华文楷体" w:cs="华文楷体"/>
          <w:spacing w:val="3"/>
          <w:sz w:val="23"/>
          <w:szCs w:val="23"/>
        </w:rPr>
        <w:t xml:space="preserve">课程。外研社杯全国英语辩论赛总决赛、  </w:t>
      </w:r>
      <w:r>
        <w:rPr>
          <w:rFonts w:ascii="Candara" w:hAnsi="Candara" w:eastAsia="Candara" w:cs="Candara"/>
          <w:sz w:val="23"/>
          <w:szCs w:val="23"/>
        </w:rPr>
        <w:t>China</w:t>
      </w:r>
      <w:r>
        <w:rPr>
          <w:rFonts w:ascii="Candara" w:hAnsi="Candara" w:eastAsia="Candara" w:cs="Candara"/>
          <w:spacing w:val="3"/>
          <w:sz w:val="23"/>
          <w:szCs w:val="23"/>
        </w:rPr>
        <w:t xml:space="preserve"> </w:t>
      </w:r>
      <w:r>
        <w:rPr>
          <w:rFonts w:ascii="Candara" w:hAnsi="Candara" w:eastAsia="Candara" w:cs="Candara"/>
          <w:sz w:val="23"/>
          <w:szCs w:val="23"/>
        </w:rPr>
        <w:t>Open</w:t>
      </w:r>
      <w:r>
        <w:rPr>
          <w:rFonts w:ascii="华文楷体" w:hAnsi="华文楷体" w:eastAsia="华文楷体" w:cs="华文楷体"/>
          <w:spacing w:val="3"/>
          <w:sz w:val="23"/>
          <w:szCs w:val="23"/>
        </w:rPr>
        <w:t>全国总</w:t>
      </w:r>
      <w:r>
        <w:rPr>
          <w:rFonts w:ascii="华文楷体" w:hAnsi="华文楷体" w:eastAsia="华文楷体" w:cs="华文楷体"/>
          <w:sz w:val="23"/>
          <w:szCs w:val="23"/>
        </w:rPr>
        <w:t xml:space="preserve"> </w:t>
      </w:r>
      <w:r>
        <w:rPr>
          <w:rFonts w:ascii="华文楷体" w:hAnsi="华文楷体" w:eastAsia="华文楷体" w:cs="华文楷体"/>
          <w:spacing w:val="18"/>
          <w:sz w:val="23"/>
          <w:szCs w:val="23"/>
        </w:rPr>
        <w:t>决</w:t>
      </w:r>
      <w:r>
        <w:rPr>
          <w:rFonts w:ascii="华文楷体" w:hAnsi="华文楷体" w:eastAsia="华文楷体" w:cs="华文楷体"/>
          <w:spacing w:val="11"/>
          <w:sz w:val="23"/>
          <w:szCs w:val="23"/>
        </w:rPr>
        <w:t>赛</w:t>
      </w:r>
      <w:r>
        <w:rPr>
          <w:rFonts w:ascii="华文楷体" w:hAnsi="华文楷体" w:eastAsia="华文楷体" w:cs="华文楷体"/>
          <w:spacing w:val="9"/>
          <w:sz w:val="23"/>
          <w:szCs w:val="23"/>
        </w:rPr>
        <w:t>评委，东北亚公开赛、世界大学生辩论赛等评委。</w:t>
      </w:r>
    </w:p>
    <w:p>
      <w:pPr>
        <w:sectPr>
          <w:type w:val="continuous"/>
          <w:pgSz w:w="11907" w:h="16839"/>
          <w:pgMar w:top="1552" w:right="1395" w:bottom="979" w:left="1416" w:header="427" w:footer="81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1841" w:space="100"/>
            <w:col w:w="7154"/>
          </w:cols>
        </w:sectPr>
      </w:pPr>
    </w:p>
    <w:p>
      <w:pPr>
        <w:spacing w:line="204" w:lineRule="exact"/>
      </w:pPr>
    </w:p>
    <w:tbl>
      <w:tblPr>
        <w:tblStyle w:val="7"/>
        <w:tblW w:w="9073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7"/>
        <w:gridCol w:w="7296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</w:trPr>
        <w:tc>
          <w:tcPr>
            <w:tcW w:w="1777" w:type="dxa"/>
            <w:tcBorders>
              <w:top w:val="dashSmallGap" w:color="95B3D7" w:themeColor="accent1" w:themeTint="99" w:sz="4" w:space="0"/>
              <w:bottom w:val="dashSmallGap" w:color="95B3D7" w:themeColor="accent1" w:themeTint="99" w:sz="4" w:space="0"/>
            </w:tcBorders>
            <w:vAlign w:val="top"/>
          </w:tcPr>
          <w:p>
            <w:pPr>
              <w:spacing w:line="378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1842" w:lineRule="exact"/>
              <w:ind w:firstLine="137"/>
              <w:textAlignment w:val="center"/>
              <w:rPr>
                <w:rFonts w:ascii="Arial"/>
                <w:sz w:val="21"/>
              </w:rPr>
            </w:pPr>
            <w:r>
              <w:drawing>
                <wp:inline distT="0" distB="0" distL="0" distR="0">
                  <wp:extent cx="930910" cy="1169670"/>
                  <wp:effectExtent l="0" t="0" r="0" b="0"/>
                  <wp:docPr id="17" name="IM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 1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910" cy="116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12" w:lineRule="auto"/>
              <w:ind w:left="493"/>
              <w:textAlignment w:val="baseline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8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查</w:t>
            </w:r>
            <w:r>
              <w:rPr>
                <w:rFonts w:ascii="华文楷体" w:hAnsi="华文楷体" w:eastAsia="华文楷体" w:cs="华文楷体"/>
                <w:spacing w:val="-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道炯</w:t>
            </w:r>
          </w:p>
        </w:tc>
        <w:tc>
          <w:tcPr>
            <w:tcW w:w="7296" w:type="dxa"/>
            <w:tcBorders>
              <w:top w:val="dashSmallGap" w:color="95B3D7" w:themeColor="accent1" w:themeTint="99" w:sz="4" w:space="0"/>
              <w:bottom w:val="dashSmallGap" w:color="95B3D7" w:themeColor="accent1" w:themeTint="99" w:sz="4" w:space="0"/>
            </w:tcBorders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102" w:line="206" w:lineRule="auto"/>
              <w:ind w:left="1447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《“一带一路”与全球发展》主讲</w:t>
            </w:r>
            <w:r>
              <w:rPr>
                <w:rFonts w:ascii="华文楷体" w:hAnsi="华文楷体" w:eastAsia="华文楷体" w:cs="华文楷体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师</w:t>
            </w:r>
          </w:p>
          <w:p>
            <w:pPr>
              <w:tabs>
                <w:tab w:val="left" w:pos="3032"/>
              </w:tabs>
              <w:spacing w:before="61" w:line="198" w:lineRule="auto"/>
              <w:ind w:left="2892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z w:val="28"/>
                <w:szCs w:val="28"/>
              </w:rPr>
              <w:tab/>
            </w:r>
            <w:r>
              <w:rPr>
                <w:rFonts w:ascii="华文楷体" w:hAnsi="华文楷体" w:eastAsia="华文楷体" w:cs="华文楷体"/>
                <w:spacing w:val="7"/>
                <w:sz w:val="28"/>
                <w:szCs w:val="28"/>
              </w:rPr>
              <w:t>(秋季学期)</w:t>
            </w:r>
          </w:p>
          <w:p>
            <w:pPr>
              <w:spacing w:before="195" w:line="252" w:lineRule="auto"/>
              <w:ind w:left="175" w:right="54" w:firstLine="483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5"/>
                <w:sz w:val="24"/>
                <w:szCs w:val="24"/>
              </w:rPr>
              <w:t>现任北京大学国际关系学院、南南合作与发展学院双聘教授。</w:t>
            </w: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他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8"/>
                <w:sz w:val="24"/>
                <w:szCs w:val="24"/>
              </w:rPr>
              <w:t>曾就读于夏威夷大学和东西方中心，  并获得政治学博士学位。他的专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业领域包括国际政治经济学和中国的国际经济关系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(特别是能源和自 </w:t>
            </w: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然资源领域、粮食安全</w:t>
            </w:r>
            <w:r>
              <w:rPr>
                <w:rFonts w:ascii="华文楷体" w:hAnsi="华文楷体" w:eastAsia="华文楷体" w:cs="华文楷体"/>
                <w:spacing w:val="-3"/>
                <w:sz w:val="24"/>
                <w:szCs w:val="24"/>
              </w:rPr>
              <w:t>)</w:t>
            </w:r>
            <w:r>
              <w:rPr>
                <w:rFonts w:ascii="华文楷体" w:hAnsi="华文楷体" w:eastAsia="华文楷体" w:cs="华文楷体"/>
                <w:spacing w:val="-2"/>
                <w:sz w:val="24"/>
                <w:szCs w:val="24"/>
              </w:rPr>
              <w:t xml:space="preserve">  、发展援助、公共卫生以及亚太地区的经济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8"/>
                <w:sz w:val="24"/>
                <w:szCs w:val="24"/>
              </w:rPr>
              <w:t>政治关系</w:t>
            </w: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。他经常性参加中美之间关于贸易和投资、公共卫生等议题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2"/>
                <w:sz w:val="24"/>
                <w:szCs w:val="24"/>
              </w:rPr>
              <w:t>的二轨对话。他还在《南华早报》等报纸上发表时事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评论文章。</w:t>
            </w:r>
          </w:p>
        </w:tc>
      </w:tr>
    </w:tbl>
    <w:p>
      <w:pPr>
        <w:rPr>
          <w:rFonts w:ascii="Arial"/>
          <w:sz w:val="10"/>
          <w:szCs w:val="10"/>
        </w:rPr>
      </w:pPr>
    </w:p>
    <w:p>
      <w:pPr>
        <w:spacing w:line="77" w:lineRule="exact"/>
      </w:pPr>
    </w:p>
    <w:p>
      <w:pPr>
        <w:sectPr>
          <w:type w:val="continuous"/>
          <w:pgSz w:w="11907" w:h="16839"/>
          <w:pgMar w:top="1552" w:right="1395" w:bottom="979" w:left="1416" w:header="427" w:footer="81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1">
            <w:col w:w="9095"/>
          </w:cols>
        </w:sectPr>
      </w:pPr>
    </w:p>
    <w:p>
      <w:pPr>
        <w:spacing w:before="56" w:line="1907" w:lineRule="exact"/>
        <w:ind w:firstLine="97"/>
        <w:textAlignment w:val="center"/>
      </w:pPr>
      <w:r>
        <w:drawing>
          <wp:inline distT="0" distB="0" distL="0" distR="0">
            <wp:extent cx="986790" cy="121094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121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0" w:line="212" w:lineRule="auto"/>
        <w:ind w:left="499"/>
        <w:textAlignment w:val="baseline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10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高</w:t>
      </w:r>
      <w:r>
        <w:rPr>
          <w:rFonts w:ascii="华文楷体" w:hAnsi="华文楷体" w:eastAsia="华文楷体" w:cs="华文楷体"/>
          <w:spacing w:val="-9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旭东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19" w:line="206" w:lineRule="auto"/>
        <w:ind w:left="1275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《未来科技发展与创新创业》</w:t>
      </w:r>
      <w:r>
        <w:rPr>
          <w:rFonts w:ascii="华文楷体" w:hAnsi="华文楷体" w:eastAsia="华文楷体" w:cs="华文楷体"/>
          <w:spacing w:val="-7"/>
          <w:sz w:val="28"/>
          <w:szCs w:val="28"/>
        </w:rPr>
        <w:t xml:space="preserve">  </w:t>
      </w:r>
      <w:r>
        <w:rPr>
          <w:rFonts w:ascii="华文楷体" w:hAnsi="华文楷体" w:eastAsia="华文楷体" w:cs="华文楷体"/>
          <w:spacing w:val="-7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主讲</w:t>
      </w:r>
      <w:r>
        <w:rPr>
          <w:rFonts w:ascii="华文楷体" w:hAnsi="华文楷体" w:eastAsia="华文楷体" w:cs="华文楷体"/>
          <w:spacing w:val="-5"/>
          <w:sz w:val="28"/>
          <w:szCs w:val="28"/>
          <w14:textOutline w14:w="5094" w14:cap="flat" w14:cmpd="sng">
            <w14:solidFill>
              <w14:srgbClr w14:val="000000"/>
            </w14:solidFill>
            <w14:prstDash w14:val="solid"/>
            <w14:miter w14:val="0"/>
          </w14:textOutline>
        </w:rPr>
        <w:t>师</w:t>
      </w:r>
    </w:p>
    <w:p>
      <w:pPr>
        <w:tabs>
          <w:tab w:val="left" w:pos="2860"/>
        </w:tabs>
        <w:spacing w:before="58" w:line="198" w:lineRule="auto"/>
        <w:ind w:left="2720"/>
        <w:rPr>
          <w:rFonts w:ascii="华文楷体" w:hAnsi="华文楷体" w:eastAsia="华文楷体" w:cs="华文楷体"/>
          <w:sz w:val="28"/>
          <w:szCs w:val="28"/>
        </w:rPr>
      </w:pPr>
      <w:r>
        <w:rPr>
          <w:rFonts w:ascii="华文楷体" w:hAnsi="华文楷体" w:eastAsia="华文楷体" w:cs="华文楷体"/>
          <w:sz w:val="28"/>
          <w:szCs w:val="28"/>
        </w:rPr>
        <w:tab/>
      </w:r>
      <w:r>
        <w:rPr>
          <w:rFonts w:ascii="华文楷体" w:hAnsi="华文楷体" w:eastAsia="华文楷体" w:cs="华文楷体"/>
          <w:spacing w:val="7"/>
          <w:sz w:val="28"/>
          <w:szCs w:val="28"/>
        </w:rPr>
        <w:t>(秋季学期)</w:t>
      </w:r>
    </w:p>
    <w:p>
      <w:pPr>
        <w:spacing w:before="196" w:line="253" w:lineRule="auto"/>
        <w:ind w:right="75" w:firstLine="484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6"/>
          <w:sz w:val="24"/>
          <w:szCs w:val="24"/>
        </w:rPr>
        <w:t>现任清华大学</w:t>
      </w:r>
      <w:r>
        <w:rPr>
          <w:rFonts w:ascii="华文楷体" w:hAnsi="华文楷体" w:eastAsia="华文楷体" w:cs="华文楷体"/>
          <w:spacing w:val="5"/>
          <w:sz w:val="24"/>
          <w:szCs w:val="24"/>
        </w:rPr>
        <w:t>经</w:t>
      </w:r>
      <w:r>
        <w:rPr>
          <w:rFonts w:ascii="华文楷体" w:hAnsi="华文楷体" w:eastAsia="华文楷体" w:cs="华文楷体"/>
          <w:spacing w:val="3"/>
          <w:sz w:val="24"/>
          <w:szCs w:val="24"/>
        </w:rPr>
        <w:t>管学院教授，清华大学技术创新研究中心研究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11"/>
          <w:sz w:val="24"/>
          <w:szCs w:val="24"/>
        </w:rPr>
        <w:t>员、副主任，  工业和信息化部信息通信经济专家委员会委员，  中国</w:t>
      </w:r>
      <w:r>
        <w:rPr>
          <w:rFonts w:ascii="华文楷体" w:hAnsi="华文楷体" w:eastAsia="华文楷体" w:cs="华文楷体"/>
          <w:spacing w:val="-10"/>
          <w:sz w:val="24"/>
          <w:szCs w:val="24"/>
        </w:rPr>
        <w:t>工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业经济学会副理事长。哈尔滨工业大学工学学士，  中国人民大学经</w:t>
      </w:r>
      <w:r>
        <w:rPr>
          <w:rFonts w:ascii="华文楷体" w:hAnsi="华文楷体" w:eastAsia="华文楷体" w:cs="华文楷体"/>
          <w:spacing w:val="-3"/>
          <w:sz w:val="24"/>
          <w:szCs w:val="24"/>
        </w:rPr>
        <w:t>济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 xml:space="preserve">学 硕 士 </w:t>
      </w:r>
      <w:r>
        <w:rPr>
          <w:rFonts w:ascii="华文楷体" w:hAnsi="华文楷体" w:eastAsia="华文楷体" w:cs="华文楷体"/>
          <w:spacing w:val="-7"/>
          <w:sz w:val="24"/>
          <w:szCs w:val="24"/>
        </w:rPr>
        <w:t>，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 xml:space="preserve">   麻 省 理 工 学 院 斯 隆 管 理 学 院   ( </w:t>
      </w:r>
      <w:r>
        <w:rPr>
          <w:rFonts w:ascii="Candara" w:hAnsi="Candara" w:eastAsia="Candara" w:cs="Candara"/>
          <w:spacing w:val="-4"/>
          <w:sz w:val="24"/>
          <w:szCs w:val="24"/>
        </w:rPr>
        <w:t>MIT  Sloan  School  of</w:t>
      </w:r>
      <w:r>
        <w:rPr>
          <w:rFonts w:ascii="Candara" w:hAnsi="Candara" w:eastAsia="Candara" w:cs="Candara"/>
          <w:sz w:val="24"/>
          <w:szCs w:val="24"/>
        </w:rPr>
        <w:t xml:space="preserve"> </w:t>
      </w:r>
      <w:r>
        <w:rPr>
          <w:rFonts w:ascii="Candara" w:hAnsi="Candara" w:eastAsia="Candara" w:cs="Candara"/>
          <w:spacing w:val="-2"/>
          <w:sz w:val="24"/>
          <w:szCs w:val="24"/>
        </w:rPr>
        <w:t>Management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)   管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理学博士。</w:t>
      </w:r>
    </w:p>
    <w:p>
      <w:pPr>
        <w:spacing w:before="72" w:line="234" w:lineRule="auto"/>
        <w:ind w:left="2" w:firstLine="464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5"/>
          <w:sz w:val="24"/>
          <w:szCs w:val="24"/>
        </w:rPr>
        <w:t>研究涉及的主要行业和领域包括：   电信、汽车、能源(包括新</w:t>
      </w:r>
      <w:r>
        <w:rPr>
          <w:rFonts w:ascii="华文楷体" w:hAnsi="华文楷体" w:eastAsia="华文楷体" w:cs="华文楷体"/>
          <w:spacing w:val="-3"/>
          <w:sz w:val="24"/>
          <w:szCs w:val="24"/>
        </w:rPr>
        <w:t>能</w:t>
      </w:r>
      <w:r>
        <w:rPr>
          <w:rFonts w:ascii="华文楷体" w:hAnsi="华文楷体" w:eastAsia="华文楷体" w:cs="华文楷体"/>
          <w:sz w:val="24"/>
          <w:szCs w:val="24"/>
        </w:rPr>
        <w:t xml:space="preserve">  </w:t>
      </w:r>
      <w:r>
        <w:rPr>
          <w:rFonts w:ascii="华文楷体" w:hAnsi="华文楷体" w:eastAsia="华文楷体" w:cs="华文楷体"/>
          <w:spacing w:val="-11"/>
          <w:sz w:val="24"/>
          <w:szCs w:val="24"/>
        </w:rPr>
        <w:t>源</w:t>
      </w:r>
      <w:r>
        <w:rPr>
          <w:rFonts w:ascii="华文楷体" w:hAnsi="华文楷体" w:eastAsia="华文楷体" w:cs="华文楷体"/>
          <w:spacing w:val="-9"/>
          <w:sz w:val="24"/>
          <w:szCs w:val="24"/>
        </w:rPr>
        <w:t>)  ，以及大型央企的竞争力和创新力； 研究的主要方向为公司战略、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技术战</w:t>
      </w:r>
      <w:r>
        <w:rPr>
          <w:rFonts w:ascii="华文楷体" w:hAnsi="华文楷体" w:eastAsia="华文楷体" w:cs="华文楷体"/>
          <w:spacing w:val="-7"/>
          <w:sz w:val="24"/>
          <w:szCs w:val="24"/>
        </w:rPr>
        <w:t>略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、技术能力培养。对中国企业的竞争战略和自主创新能力培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养的理</w:t>
      </w:r>
      <w:r>
        <w:rPr>
          <w:rFonts w:ascii="华文楷体" w:hAnsi="华文楷体" w:eastAsia="华文楷体" w:cs="华文楷体"/>
          <w:spacing w:val="-6"/>
          <w:sz w:val="24"/>
          <w:szCs w:val="24"/>
        </w:rPr>
        <w:t>论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和对策进行了比较系统的研究，对于中国企业为什么要进行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自主创</w:t>
      </w:r>
      <w:r>
        <w:rPr>
          <w:rFonts w:ascii="华文楷体" w:hAnsi="华文楷体" w:eastAsia="华文楷体" w:cs="华文楷体"/>
          <w:spacing w:val="-7"/>
          <w:sz w:val="24"/>
          <w:szCs w:val="24"/>
        </w:rPr>
        <w:t>新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、能不能进行自主创新以及如何进行自主创新等问题进行了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分析</w:t>
      </w:r>
      <w:r>
        <w:rPr>
          <w:rFonts w:ascii="Candara" w:hAnsi="Candara" w:eastAsia="Candara" w:cs="Candara"/>
          <w:spacing w:val="-2"/>
          <w:sz w:val="24"/>
          <w:szCs w:val="24"/>
        </w:rPr>
        <w:t xml:space="preserve">,  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特别是在系统研究以中石油、中石化、国家电网、中广核、</w:t>
      </w:r>
      <w:r>
        <w:rPr>
          <w:rFonts w:ascii="华文楷体" w:hAnsi="华文楷体" w:eastAsia="华文楷体" w:cs="华文楷体"/>
          <w:sz w:val="24"/>
          <w:szCs w:val="24"/>
        </w:rPr>
        <w:t>金</w:t>
      </w:r>
    </w:p>
    <w:p>
      <w:pPr>
        <w:sectPr>
          <w:type w:val="continuous"/>
          <w:pgSz w:w="11907" w:h="16839"/>
          <w:pgMar w:top="1552" w:right="1395" w:bottom="979" w:left="1416" w:header="427" w:footer="81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1850" w:space="100"/>
            <w:col w:w="7146"/>
          </w:cols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before="87" w:line="255" w:lineRule="auto"/>
        <w:ind w:left="1949" w:right="55" w:firstLine="2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8"/>
          <w:sz w:val="24"/>
          <w:szCs w:val="24"/>
        </w:rPr>
        <w:t>风科技</w:t>
      </w:r>
      <w:r>
        <w:rPr>
          <w:rFonts w:ascii="华文楷体" w:hAnsi="华文楷体" w:eastAsia="华文楷体" w:cs="华文楷体"/>
          <w:spacing w:val="-7"/>
          <w:sz w:val="24"/>
          <w:szCs w:val="24"/>
        </w:rPr>
        <w:t>、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隆基、清华阳光、大唐电信、中兴、华为、国双、徐工、远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大、华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 xml:space="preserve">大基因、曙光、海信、长虹、  </w:t>
      </w:r>
      <w:r>
        <w:rPr>
          <w:rFonts w:ascii="Candara" w:hAnsi="Candara" w:eastAsia="Candara" w:cs="Candara"/>
          <w:spacing w:val="-4"/>
          <w:sz w:val="24"/>
          <w:szCs w:val="24"/>
        </w:rPr>
        <w:t>TCL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等为代表的中国本土企业的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14"/>
          <w:sz w:val="24"/>
          <w:szCs w:val="24"/>
        </w:rPr>
        <w:t>基础上，  提出了企业自主创新能力培养的“社会学习理论”，    “后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来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2"/>
          <w:sz w:val="24"/>
          <w:szCs w:val="24"/>
        </w:rPr>
        <w:t>者劣势”理论，以及本土企业创新发展的“共同</w:t>
      </w:r>
      <w:r>
        <w:rPr>
          <w:rFonts w:ascii="华文楷体" w:hAnsi="华文楷体" w:eastAsia="华文楷体" w:cs="华文楷体"/>
          <w:spacing w:val="-1"/>
          <w:sz w:val="24"/>
          <w:szCs w:val="24"/>
        </w:rPr>
        <w:t>成长理论”。</w:t>
      </w:r>
    </w:p>
    <w:p>
      <w:pPr>
        <w:spacing w:before="74" w:line="258" w:lineRule="auto"/>
        <w:ind w:left="1958" w:right="53" w:firstLine="474"/>
        <w:rPr>
          <w:rFonts w:ascii="Candara" w:hAnsi="Candara" w:eastAsia="Candara" w:cs="Candara"/>
          <w:sz w:val="24"/>
          <w:szCs w:val="24"/>
        </w:rPr>
      </w:pPr>
      <w:r>
        <w:rPr>
          <w:rFonts w:ascii="华文楷体" w:hAnsi="华文楷体" w:eastAsia="华文楷体" w:cs="华文楷体"/>
          <w:spacing w:val="2"/>
          <w:sz w:val="24"/>
          <w:szCs w:val="24"/>
        </w:rPr>
        <w:t>所著《企业自主</w:t>
      </w:r>
      <w:r>
        <w:rPr>
          <w:rFonts w:ascii="华文楷体" w:hAnsi="华文楷体" w:eastAsia="华文楷体" w:cs="华文楷体"/>
          <w:spacing w:val="1"/>
          <w:sz w:val="24"/>
          <w:szCs w:val="24"/>
        </w:rPr>
        <w:t>创新战略与方法》(</w:t>
      </w:r>
      <w:r>
        <w:rPr>
          <w:rFonts w:ascii="Candara" w:hAnsi="Candara" w:eastAsia="Candara" w:cs="Candara"/>
          <w:spacing w:val="1"/>
          <w:sz w:val="24"/>
          <w:szCs w:val="24"/>
        </w:rPr>
        <w:t>2007</w:t>
      </w:r>
      <w:r>
        <w:rPr>
          <w:rFonts w:ascii="华文楷体" w:hAnsi="华文楷体" w:eastAsia="华文楷体" w:cs="华文楷体"/>
          <w:spacing w:val="1"/>
          <w:sz w:val="24"/>
          <w:szCs w:val="24"/>
        </w:rPr>
        <w:t>，    知识产权出版社)</w:t>
      </w:r>
      <w:r>
        <w:rPr>
          <w:rFonts w:ascii="华文楷体" w:hAnsi="华文楷体" w:eastAsia="华文楷体" w:cs="华文楷体"/>
          <w:sz w:val="24"/>
          <w:szCs w:val="24"/>
        </w:rPr>
        <w:t xml:space="preserve">  </w:t>
      </w:r>
      <w:r>
        <w:rPr>
          <w:rFonts w:ascii="华文楷体" w:hAnsi="华文楷体" w:eastAsia="华文楷体" w:cs="华文楷体"/>
          <w:spacing w:val="-8"/>
          <w:sz w:val="24"/>
          <w:szCs w:val="24"/>
        </w:rPr>
        <w:t>一书比较系</w:t>
      </w:r>
      <w:r>
        <w:rPr>
          <w:rFonts w:ascii="华文楷体" w:hAnsi="华文楷体" w:eastAsia="华文楷体" w:cs="华文楷体"/>
          <w:spacing w:val="-6"/>
          <w:sz w:val="24"/>
          <w:szCs w:val="24"/>
        </w:rPr>
        <w:t>统</w:t>
      </w:r>
      <w:r>
        <w:rPr>
          <w:rFonts w:ascii="华文楷体" w:hAnsi="华文楷体" w:eastAsia="华文楷体" w:cs="华文楷体"/>
          <w:spacing w:val="-4"/>
          <w:sz w:val="24"/>
          <w:szCs w:val="24"/>
        </w:rPr>
        <w:t>地阐述了自主创新的有关理论和方法。文章发表在管理</w:t>
      </w:r>
      <w:r>
        <w:rPr>
          <w:rFonts w:ascii="华文楷体" w:hAnsi="华文楷体" w:eastAsia="华文楷体" w:cs="华文楷体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5"/>
          <w:sz w:val="24"/>
          <w:szCs w:val="24"/>
        </w:rPr>
        <w:t xml:space="preserve">学报、技术经济、科学与科学技术管理，   </w:t>
      </w:r>
      <w:r>
        <w:rPr>
          <w:rFonts w:ascii="Candara" w:hAnsi="Candara" w:eastAsia="Candara" w:cs="Candara"/>
          <w:spacing w:val="-5"/>
          <w:sz w:val="24"/>
          <w:szCs w:val="24"/>
        </w:rPr>
        <w:t>Research Policy, Cambridg</w:t>
      </w:r>
      <w:r>
        <w:rPr>
          <w:rFonts w:ascii="Candara" w:hAnsi="Candara" w:eastAsia="Candara" w:cs="Candara"/>
          <w:spacing w:val="-2"/>
          <w:sz w:val="24"/>
          <w:szCs w:val="24"/>
        </w:rPr>
        <w:t>e</w:t>
      </w:r>
    </w:p>
    <w:p>
      <w:pPr>
        <w:spacing w:before="7" w:line="269" w:lineRule="auto"/>
        <w:ind w:left="1935" w:right="57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Candara" w:hAnsi="Candara" w:eastAsia="Candara" w:cs="Candara"/>
          <w:sz w:val="24"/>
          <w:szCs w:val="24"/>
        </w:rPr>
        <w:t>Journal</w:t>
      </w:r>
      <w:r>
        <w:rPr>
          <w:rFonts w:ascii="Candara" w:hAnsi="Candara" w:eastAsia="Candara" w:cs="Candara"/>
          <w:spacing w:val="1"/>
          <w:sz w:val="24"/>
          <w:szCs w:val="24"/>
        </w:rPr>
        <w:t xml:space="preserve"> </w:t>
      </w:r>
      <w:r>
        <w:rPr>
          <w:rFonts w:ascii="Candara" w:hAnsi="Candara" w:eastAsia="Candara" w:cs="Candara"/>
          <w:sz w:val="24"/>
          <w:szCs w:val="24"/>
        </w:rPr>
        <w:t>of</w:t>
      </w:r>
      <w:r>
        <w:rPr>
          <w:rFonts w:ascii="Candara" w:hAnsi="Candara" w:eastAsia="Candara" w:cs="Candara"/>
          <w:spacing w:val="1"/>
          <w:sz w:val="24"/>
          <w:szCs w:val="24"/>
        </w:rPr>
        <w:t xml:space="preserve"> </w:t>
      </w:r>
      <w:r>
        <w:rPr>
          <w:rFonts w:ascii="Candara" w:hAnsi="Candara" w:eastAsia="Candara" w:cs="Candara"/>
          <w:sz w:val="24"/>
          <w:szCs w:val="24"/>
        </w:rPr>
        <w:t>Regions</w:t>
      </w:r>
      <w:r>
        <w:rPr>
          <w:rFonts w:ascii="Candara" w:hAnsi="Candara" w:eastAsia="Candara" w:cs="Candara"/>
          <w:spacing w:val="1"/>
          <w:sz w:val="24"/>
          <w:szCs w:val="24"/>
        </w:rPr>
        <w:t xml:space="preserve">, </w:t>
      </w:r>
      <w:r>
        <w:rPr>
          <w:rFonts w:ascii="Candara" w:hAnsi="Candara" w:eastAsia="Candara" w:cs="Candara"/>
          <w:sz w:val="24"/>
          <w:szCs w:val="24"/>
        </w:rPr>
        <w:t>Economy</w:t>
      </w:r>
      <w:r>
        <w:rPr>
          <w:rFonts w:ascii="Candara" w:hAnsi="Candara" w:eastAsia="Candara" w:cs="Candara"/>
          <w:spacing w:val="1"/>
          <w:sz w:val="24"/>
          <w:szCs w:val="24"/>
        </w:rPr>
        <w:t xml:space="preserve"> </w:t>
      </w:r>
      <w:r>
        <w:rPr>
          <w:rFonts w:ascii="Candara" w:hAnsi="Candara" w:eastAsia="Candara" w:cs="Candara"/>
          <w:sz w:val="24"/>
          <w:szCs w:val="24"/>
        </w:rPr>
        <w:t>and Society, Telecommunications Policy, Research</w:t>
      </w:r>
      <w:r>
        <w:rPr>
          <w:rFonts w:ascii="Candara" w:hAnsi="Candara" w:eastAsia="Candara" w:cs="Candara"/>
          <w:spacing w:val="5"/>
          <w:sz w:val="24"/>
          <w:szCs w:val="24"/>
        </w:rPr>
        <w:t xml:space="preserve"> </w:t>
      </w:r>
      <w:r>
        <w:rPr>
          <w:rFonts w:ascii="Candara" w:hAnsi="Candara" w:eastAsia="Candara" w:cs="Candara"/>
          <w:spacing w:val="3"/>
          <w:sz w:val="24"/>
          <w:szCs w:val="24"/>
        </w:rPr>
        <w:t xml:space="preserve">   </w:t>
      </w:r>
      <w:r>
        <w:rPr>
          <w:rFonts w:ascii="Candara" w:hAnsi="Candara" w:eastAsia="Candara" w:cs="Candara"/>
          <w:sz w:val="24"/>
          <w:szCs w:val="24"/>
        </w:rPr>
        <w:t>Technology</w:t>
      </w:r>
      <w:r>
        <w:rPr>
          <w:rFonts w:ascii="Candara" w:hAnsi="Candara" w:eastAsia="Candara" w:cs="Candara"/>
          <w:spacing w:val="3"/>
          <w:sz w:val="24"/>
          <w:szCs w:val="24"/>
        </w:rPr>
        <w:t xml:space="preserve">     </w:t>
      </w:r>
      <w:r>
        <w:rPr>
          <w:rFonts w:ascii="Candara" w:hAnsi="Candara" w:eastAsia="Candara" w:cs="Candara"/>
          <w:sz w:val="24"/>
          <w:szCs w:val="24"/>
        </w:rPr>
        <w:t>Management</w:t>
      </w:r>
      <w:r>
        <w:rPr>
          <w:rFonts w:ascii="Candara" w:hAnsi="Candara" w:eastAsia="Candara" w:cs="Candara"/>
          <w:spacing w:val="3"/>
          <w:sz w:val="24"/>
          <w:szCs w:val="24"/>
        </w:rPr>
        <w:t xml:space="preserve">,     </w:t>
      </w:r>
      <w:r>
        <w:rPr>
          <w:rFonts w:ascii="Candara" w:hAnsi="Candara" w:eastAsia="Candara" w:cs="Candara"/>
          <w:sz w:val="24"/>
          <w:szCs w:val="24"/>
        </w:rPr>
        <w:t>International</w:t>
      </w:r>
      <w:r>
        <w:rPr>
          <w:rFonts w:ascii="Candara" w:hAnsi="Candara" w:eastAsia="Candara" w:cs="Candara"/>
          <w:spacing w:val="3"/>
          <w:sz w:val="24"/>
          <w:szCs w:val="24"/>
        </w:rPr>
        <w:t xml:space="preserve">    </w:t>
      </w:r>
      <w:r>
        <w:rPr>
          <w:rFonts w:ascii="Candara" w:hAnsi="Candara" w:eastAsia="Candara" w:cs="Candara"/>
          <w:sz w:val="24"/>
          <w:szCs w:val="24"/>
        </w:rPr>
        <w:t>Journal</w:t>
      </w:r>
      <w:r>
        <w:rPr>
          <w:rFonts w:ascii="Candara" w:hAnsi="Candara" w:eastAsia="Candara" w:cs="Candara"/>
          <w:spacing w:val="3"/>
          <w:sz w:val="24"/>
          <w:szCs w:val="24"/>
        </w:rPr>
        <w:t xml:space="preserve">     </w:t>
      </w:r>
      <w:r>
        <w:rPr>
          <w:rFonts w:ascii="Candara" w:hAnsi="Candara" w:eastAsia="Candara" w:cs="Candara"/>
          <w:sz w:val="24"/>
          <w:szCs w:val="24"/>
        </w:rPr>
        <w:t xml:space="preserve">of </w:t>
      </w:r>
      <w:r>
        <w:rPr>
          <w:rFonts w:ascii="Candara" w:hAnsi="Candara" w:eastAsia="Candara" w:cs="Candara"/>
          <w:spacing w:val="-1"/>
          <w:sz w:val="24"/>
          <w:szCs w:val="24"/>
        </w:rPr>
        <w:t>Technology</w:t>
      </w:r>
      <w:r>
        <w:rPr>
          <w:rFonts w:ascii="Candara" w:hAnsi="Candara" w:eastAsia="Candara" w:cs="Candara"/>
          <w:spacing w:val="-2"/>
          <w:sz w:val="24"/>
          <w:szCs w:val="24"/>
        </w:rPr>
        <w:t xml:space="preserve"> </w:t>
      </w:r>
      <w:r>
        <w:rPr>
          <w:rFonts w:ascii="Candara" w:hAnsi="Candara" w:eastAsia="Candara" w:cs="Candara"/>
          <w:spacing w:val="-1"/>
          <w:sz w:val="24"/>
          <w:szCs w:val="24"/>
        </w:rPr>
        <w:t>Management</w:t>
      </w:r>
      <w:r>
        <w:rPr>
          <w:rFonts w:ascii="华文楷体" w:hAnsi="华文楷体" w:eastAsia="华文楷体" w:cs="华文楷体"/>
          <w:spacing w:val="-1"/>
          <w:sz w:val="24"/>
          <w:szCs w:val="24"/>
        </w:rPr>
        <w:t>等杂志。</w:t>
      </w:r>
    </w:p>
    <w:p>
      <w:pPr>
        <w:spacing w:line="58" w:lineRule="exact"/>
      </w:pPr>
    </w:p>
    <w:tbl>
      <w:tblPr>
        <w:tblStyle w:val="7"/>
        <w:tblW w:w="9073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7304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1" w:hRule="atLeast"/>
        </w:trPr>
        <w:tc>
          <w:tcPr>
            <w:tcW w:w="1769" w:type="dxa"/>
            <w:tcBorders>
              <w:top w:val="dashSmallGap" w:color="95B3D7" w:themeColor="accent1" w:themeTint="99" w:sz="4" w:space="0"/>
              <w:bottom w:val="dashSmallGap" w:color="95B3D7" w:themeColor="accent1" w:themeTint="99" w:sz="4" w:space="0"/>
            </w:tcBorders>
            <w:vAlign w:val="top"/>
          </w:tcPr>
          <w:p>
            <w:pPr>
              <w:spacing w:line="379" w:lineRule="auto"/>
              <w:rPr>
                <w:rFonts w:ascii="Arial"/>
                <w:sz w:val="16"/>
                <w:szCs w:val="16"/>
              </w:rPr>
            </w:pPr>
          </w:p>
          <w:p>
            <w:pPr>
              <w:spacing w:line="2027" w:lineRule="exact"/>
              <w:ind w:firstLine="137"/>
              <w:textAlignment w:val="center"/>
            </w:pPr>
            <w:r>
              <w:drawing>
                <wp:inline distT="0" distB="0" distL="0" distR="0">
                  <wp:extent cx="929005" cy="1286510"/>
                  <wp:effectExtent l="0" t="0" r="0" b="0"/>
                  <wp:docPr id="19" name="IM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 1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005" cy="1287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00" w:line="212" w:lineRule="auto"/>
              <w:ind w:left="465"/>
              <w:textAlignment w:val="baseline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-5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赵</w:t>
            </w:r>
            <w:r>
              <w:rPr>
                <w:rFonts w:ascii="华文楷体" w:hAnsi="华文楷体" w:eastAsia="华文楷体" w:cs="华文楷体"/>
                <w:spacing w:val="-3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可金</w:t>
            </w:r>
          </w:p>
        </w:tc>
        <w:tc>
          <w:tcPr>
            <w:tcW w:w="7304" w:type="dxa"/>
            <w:tcBorders>
              <w:top w:val="dashSmallGap" w:color="95B3D7" w:themeColor="accent1" w:themeTint="99" w:sz="4" w:space="0"/>
              <w:bottom w:val="dashSmallGap" w:color="95B3D7" w:themeColor="accent1" w:themeTint="99" w:sz="4" w:space="0"/>
            </w:tcBorders>
            <w:vAlign w:val="top"/>
          </w:tcPr>
          <w:p>
            <w:pPr>
              <w:spacing w:line="339" w:lineRule="auto"/>
              <w:rPr>
                <w:rFonts w:ascii="Arial"/>
                <w:sz w:val="21"/>
              </w:rPr>
            </w:pPr>
          </w:p>
          <w:p>
            <w:pPr>
              <w:spacing w:before="102" w:line="204" w:lineRule="auto"/>
              <w:ind w:left="1875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pacing w:val="1"/>
                <w:sz w:val="28"/>
                <w:szCs w:val="28"/>
                <w14:textOutline w14:w="509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《中国特色大国外交》主讲师</w:t>
            </w:r>
          </w:p>
          <w:p>
            <w:pPr>
              <w:tabs>
                <w:tab w:val="left" w:pos="3040"/>
              </w:tabs>
              <w:spacing w:before="62" w:line="198" w:lineRule="auto"/>
              <w:ind w:left="2900"/>
              <w:rPr>
                <w:rFonts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z w:val="28"/>
                <w:szCs w:val="28"/>
              </w:rPr>
              <w:tab/>
            </w:r>
            <w:r>
              <w:rPr>
                <w:rFonts w:ascii="华文楷体" w:hAnsi="华文楷体" w:eastAsia="华文楷体" w:cs="华文楷体"/>
                <w:spacing w:val="7"/>
                <w:sz w:val="28"/>
                <w:szCs w:val="28"/>
              </w:rPr>
              <w:t>(春季学期)</w:t>
            </w:r>
          </w:p>
          <w:p>
            <w:pPr>
              <w:tabs>
                <w:tab w:val="left" w:pos="312"/>
              </w:tabs>
              <w:spacing w:before="192" w:line="251" w:lineRule="auto"/>
              <w:ind w:left="169" w:right="61" w:firstLine="497"/>
              <w:rPr>
                <w:rFonts w:ascii="华文楷体" w:hAnsi="华文楷体" w:eastAsia="华文楷体" w:cs="华文楷体"/>
                <w:sz w:val="24"/>
                <w:szCs w:val="24"/>
              </w:rPr>
            </w:pP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现任清华大学社会科学学院副院长、全球共同发展研究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院副院  </w:t>
            </w:r>
            <w:r>
              <w:rPr>
                <w:rFonts w:ascii="华文楷体" w:hAnsi="华文楷体" w:eastAsia="华文楷体" w:cs="华文楷体"/>
                <w:spacing w:val="-7"/>
                <w:sz w:val="24"/>
                <w:szCs w:val="24"/>
              </w:rPr>
              <w:t>长</w:t>
            </w: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、长聘教授 。 兼任教育部区域国别研究基地专家委员会委员、全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国高校国际政治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研究会常务理事、中国人民争取和平与裁军协会理  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事、吉林大学公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共外交学院客座教授、北京外国语大学公共外交中  </w:t>
            </w:r>
            <w:r>
              <w:rPr>
                <w:rFonts w:ascii="华文楷体" w:hAnsi="华文楷体" w:eastAsia="华文楷体" w:cs="华文楷体"/>
                <w:spacing w:val="-14"/>
                <w:sz w:val="24"/>
                <w:szCs w:val="24"/>
              </w:rPr>
              <w:t>心高</w:t>
            </w:r>
            <w:r>
              <w:rPr>
                <w:rFonts w:ascii="华文楷体" w:hAnsi="华文楷体" w:eastAsia="华文楷体" w:cs="华文楷体"/>
                <w:spacing w:val="-8"/>
                <w:sz w:val="24"/>
                <w:szCs w:val="24"/>
              </w:rPr>
              <w:t>级</w:t>
            </w:r>
            <w:r>
              <w:rPr>
                <w:rFonts w:ascii="华文楷体" w:hAnsi="华文楷体" w:eastAsia="华文楷体" w:cs="华文楷体"/>
                <w:spacing w:val="-7"/>
                <w:sz w:val="24"/>
                <w:szCs w:val="24"/>
              </w:rPr>
              <w:t>研究员、察哈尔学会高级研究员等学术职务 。   复旦大学法学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 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ab/>
            </w:r>
            <w:r>
              <w:rPr>
                <w:rFonts w:ascii="华文楷体" w:hAnsi="华文楷体" w:eastAsia="华文楷体" w:cs="华文楷体"/>
                <w:spacing w:val="1"/>
                <w:sz w:val="24"/>
                <w:szCs w:val="24"/>
              </w:rPr>
              <w:t xml:space="preserve">(国际关系)博士 。 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 主要从事外交学理论、中国外交、中美关系等  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研究，出版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各类著作</w:t>
            </w:r>
            <w:r>
              <w:rPr>
                <w:rFonts w:ascii="Candara" w:hAnsi="Candara" w:eastAsia="Candara" w:cs="Candara"/>
                <w:sz w:val="24"/>
                <w:szCs w:val="24"/>
              </w:rPr>
              <w:t>18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部，发表</w:t>
            </w:r>
            <w:r>
              <w:rPr>
                <w:rFonts w:ascii="Candara" w:hAnsi="Candara" w:eastAsia="Candara" w:cs="Candara"/>
                <w:sz w:val="24"/>
                <w:szCs w:val="24"/>
              </w:rPr>
              <w:t>SSCI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和</w:t>
            </w:r>
            <w:r>
              <w:rPr>
                <w:rFonts w:ascii="Candara" w:hAnsi="Candara" w:eastAsia="Candara" w:cs="Candara"/>
                <w:sz w:val="24"/>
                <w:szCs w:val="24"/>
              </w:rPr>
              <w:t>CSSCI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论文</w:t>
            </w:r>
            <w:r>
              <w:rPr>
                <w:rFonts w:ascii="Candara" w:hAnsi="Candara" w:eastAsia="Candara" w:cs="Candara"/>
                <w:sz w:val="24"/>
                <w:szCs w:val="24"/>
              </w:rPr>
              <w:t>80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多篇，先后荣获 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省部级奖励</w:t>
            </w:r>
            <w:r>
              <w:rPr>
                <w:rFonts w:ascii="Candara" w:hAnsi="Candara" w:eastAsia="Candara" w:cs="Candara"/>
                <w:spacing w:val="-1"/>
                <w:sz w:val="24"/>
                <w:szCs w:val="24"/>
              </w:rPr>
              <w:t>5</w:t>
            </w:r>
            <w:r>
              <w:rPr>
                <w:rFonts w:ascii="华文楷体" w:hAnsi="华文楷体" w:eastAsia="华文楷体" w:cs="华文楷体"/>
                <w:spacing w:val="-1"/>
                <w:sz w:val="24"/>
                <w:szCs w:val="24"/>
              </w:rPr>
              <w:t>项，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入选教育部新世纪优秀人才，北京市</w:t>
            </w:r>
            <w:r>
              <w:rPr>
                <w:rFonts w:ascii="Candara" w:hAnsi="Candara" w:eastAsia="Candara" w:cs="Candara"/>
                <w:sz w:val="24"/>
                <w:szCs w:val="24"/>
              </w:rPr>
              <w:t>“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>四个一批</w:t>
            </w:r>
            <w:r>
              <w:rPr>
                <w:rFonts w:ascii="Candara" w:hAnsi="Candara" w:eastAsia="Candara" w:cs="Candara"/>
                <w:sz w:val="24"/>
                <w:szCs w:val="24"/>
              </w:rPr>
              <w:t>”</w:t>
            </w:r>
            <w:r>
              <w:rPr>
                <w:rFonts w:ascii="华文楷体" w:hAnsi="华文楷体" w:eastAsia="华文楷体" w:cs="华文楷体"/>
                <w:sz w:val="24"/>
                <w:szCs w:val="24"/>
              </w:rPr>
              <w:t xml:space="preserve">优 </w:t>
            </w:r>
            <w:r>
              <w:rPr>
                <w:rFonts w:ascii="华文楷体" w:hAnsi="华文楷体" w:eastAsia="华文楷体" w:cs="华文楷体"/>
                <w:spacing w:val="-6"/>
                <w:sz w:val="24"/>
                <w:szCs w:val="24"/>
              </w:rPr>
              <w:t>秀人</w:t>
            </w:r>
            <w:r>
              <w:rPr>
                <w:rFonts w:ascii="华文楷体" w:hAnsi="华文楷体" w:eastAsia="华文楷体" w:cs="华文楷体"/>
                <w:spacing w:val="-4"/>
                <w:sz w:val="24"/>
                <w:szCs w:val="24"/>
              </w:rPr>
              <w:t>才</w:t>
            </w:r>
            <w:r>
              <w:rPr>
                <w:rFonts w:ascii="华文楷体" w:hAnsi="华文楷体" w:eastAsia="华文楷体" w:cs="华文楷体"/>
                <w:spacing w:val="-3"/>
                <w:sz w:val="24"/>
                <w:szCs w:val="24"/>
              </w:rPr>
              <w:t>等支持计划。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13" w:type="default"/>
      <w:footerReference r:id="rId14" w:type="default"/>
      <w:pgSz w:w="11907" w:h="16839"/>
      <w:pgMar w:top="1552" w:right="1766" w:bottom="979" w:left="1769" w:header="1191" w:footer="81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4501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500"/>
      <w:rPr>
        <w:rFonts w:ascii="Calibri" w:hAnsi="Calibri" w:eastAsia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499"/>
      <w:rPr>
        <w:rFonts w:ascii="Calibri" w:hAnsi="Calibri" w:eastAsia="Calibri" w:cs="Calibri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499"/>
      <w:rPr>
        <w:rFonts w:ascii="Calibri" w:hAnsi="Calibri" w:eastAsia="Calibri" w:cs="Calibri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102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MxMzAzOTU3YTc1Yzg0MGQ5ZjM0MjU4MjM0MDRjZDcifQ=="/>
  </w:docVars>
  <w:rsids>
    <w:rsidRoot w:val="00000000"/>
    <w:rsid w:val="0067722F"/>
    <w:rsid w:val="006B4F71"/>
    <w:rsid w:val="00B92181"/>
    <w:rsid w:val="01273BD7"/>
    <w:rsid w:val="02587777"/>
    <w:rsid w:val="0277327E"/>
    <w:rsid w:val="02DC2156"/>
    <w:rsid w:val="03367AB9"/>
    <w:rsid w:val="045D1075"/>
    <w:rsid w:val="069B61B4"/>
    <w:rsid w:val="06C90C44"/>
    <w:rsid w:val="09753EC7"/>
    <w:rsid w:val="0A5D1DCF"/>
    <w:rsid w:val="0AD57BB7"/>
    <w:rsid w:val="0B52745A"/>
    <w:rsid w:val="0D894C89"/>
    <w:rsid w:val="0DEF71E2"/>
    <w:rsid w:val="0E1577F1"/>
    <w:rsid w:val="102E1B18"/>
    <w:rsid w:val="11447845"/>
    <w:rsid w:val="13D12EE6"/>
    <w:rsid w:val="16C40884"/>
    <w:rsid w:val="17523199"/>
    <w:rsid w:val="185145F5"/>
    <w:rsid w:val="19137AFC"/>
    <w:rsid w:val="1BC021BE"/>
    <w:rsid w:val="1C006A5E"/>
    <w:rsid w:val="1D3A7D4E"/>
    <w:rsid w:val="20895274"/>
    <w:rsid w:val="2145525F"/>
    <w:rsid w:val="21CB18BC"/>
    <w:rsid w:val="25910727"/>
    <w:rsid w:val="25E42F4C"/>
    <w:rsid w:val="26A115D6"/>
    <w:rsid w:val="26CA2142"/>
    <w:rsid w:val="27223D2C"/>
    <w:rsid w:val="286363AA"/>
    <w:rsid w:val="2916166F"/>
    <w:rsid w:val="2A27294F"/>
    <w:rsid w:val="2B165099"/>
    <w:rsid w:val="2E2428B0"/>
    <w:rsid w:val="2F7E3ACA"/>
    <w:rsid w:val="2FDD1A9F"/>
    <w:rsid w:val="3050190A"/>
    <w:rsid w:val="320A2BA3"/>
    <w:rsid w:val="324F5BF1"/>
    <w:rsid w:val="33231C29"/>
    <w:rsid w:val="33A25AF5"/>
    <w:rsid w:val="33BA52ED"/>
    <w:rsid w:val="345474EF"/>
    <w:rsid w:val="35165E2F"/>
    <w:rsid w:val="35B77D36"/>
    <w:rsid w:val="35FB6207"/>
    <w:rsid w:val="369D74E2"/>
    <w:rsid w:val="382673F4"/>
    <w:rsid w:val="3AF31170"/>
    <w:rsid w:val="3B9528C7"/>
    <w:rsid w:val="3BCD02B3"/>
    <w:rsid w:val="3BE43E0F"/>
    <w:rsid w:val="3BE63123"/>
    <w:rsid w:val="3C0B4937"/>
    <w:rsid w:val="3C1B2036"/>
    <w:rsid w:val="3EA11583"/>
    <w:rsid w:val="40E439A9"/>
    <w:rsid w:val="413C5593"/>
    <w:rsid w:val="42E45EE2"/>
    <w:rsid w:val="43236A0A"/>
    <w:rsid w:val="433C7ACC"/>
    <w:rsid w:val="43F32881"/>
    <w:rsid w:val="44775260"/>
    <w:rsid w:val="45BE0C6C"/>
    <w:rsid w:val="47374E33"/>
    <w:rsid w:val="48E6667A"/>
    <w:rsid w:val="4A6718D3"/>
    <w:rsid w:val="4B6D007A"/>
    <w:rsid w:val="4D810EFD"/>
    <w:rsid w:val="507C3BFE"/>
    <w:rsid w:val="5345477B"/>
    <w:rsid w:val="547C41CC"/>
    <w:rsid w:val="57DA3E5B"/>
    <w:rsid w:val="57F329F7"/>
    <w:rsid w:val="581806B0"/>
    <w:rsid w:val="58801DB1"/>
    <w:rsid w:val="58DC4756"/>
    <w:rsid w:val="59875AED"/>
    <w:rsid w:val="59E545C2"/>
    <w:rsid w:val="5B9242D5"/>
    <w:rsid w:val="5D0E3E30"/>
    <w:rsid w:val="618D5C6B"/>
    <w:rsid w:val="62B86D17"/>
    <w:rsid w:val="63273E9D"/>
    <w:rsid w:val="63A1684E"/>
    <w:rsid w:val="63E36DC8"/>
    <w:rsid w:val="6524348E"/>
    <w:rsid w:val="67B94EBC"/>
    <w:rsid w:val="682D5AB2"/>
    <w:rsid w:val="68923B67"/>
    <w:rsid w:val="69F35B62"/>
    <w:rsid w:val="6ADC556D"/>
    <w:rsid w:val="6AFE3735"/>
    <w:rsid w:val="6CA34D61"/>
    <w:rsid w:val="6DB602F7"/>
    <w:rsid w:val="6EAE5D33"/>
    <w:rsid w:val="6EB505AF"/>
    <w:rsid w:val="70691651"/>
    <w:rsid w:val="7138344C"/>
    <w:rsid w:val="71721C3F"/>
    <w:rsid w:val="71995F66"/>
    <w:rsid w:val="71F34C3D"/>
    <w:rsid w:val="7288230F"/>
    <w:rsid w:val="72A46970"/>
    <w:rsid w:val="72CF43E6"/>
    <w:rsid w:val="730218E9"/>
    <w:rsid w:val="742F4960"/>
    <w:rsid w:val="74556F2A"/>
    <w:rsid w:val="761E4C8C"/>
    <w:rsid w:val="76C770D1"/>
    <w:rsid w:val="78141CB5"/>
    <w:rsid w:val="78CA4C57"/>
    <w:rsid w:val="79075EAB"/>
    <w:rsid w:val="79144124"/>
    <w:rsid w:val="79222CE5"/>
    <w:rsid w:val="798D4602"/>
    <w:rsid w:val="7ACB4491"/>
    <w:rsid w:val="7AD87AFF"/>
    <w:rsid w:val="7CEA1D6C"/>
    <w:rsid w:val="7D456FA2"/>
    <w:rsid w:val="7D580A83"/>
    <w:rsid w:val="7E0724A9"/>
    <w:rsid w:val="7EC9775F"/>
    <w:rsid w:val="7FBF128D"/>
    <w:rsid w:val="7FF16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font21"/>
    <w:basedOn w:val="6"/>
    <w:qFormat/>
    <w:uiPriority w:val="0"/>
    <w:rPr>
      <w:rFonts w:ascii="仿宋_GB2312" w:hAns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default" w:ascii="仿宋" w:hAnsi="仿宋" w:eastAsia="仿宋" w:cs="仿宋"/>
      <w:b/>
      <w:bCs/>
      <w:color w:val="000000"/>
      <w:sz w:val="21"/>
      <w:szCs w:val="21"/>
      <w:u w:val="none"/>
    </w:rPr>
  </w:style>
  <w:style w:type="character" w:customStyle="1" w:styleId="10">
    <w:name w:val="font01"/>
    <w:basedOn w:val="6"/>
    <w:qFormat/>
    <w:uiPriority w:val="0"/>
    <w:rPr>
      <w:rFonts w:hint="default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image" Target="media/image12.jpeg"/><Relationship Id="rId26" Type="http://schemas.openxmlformats.org/officeDocument/2006/relationships/image" Target="media/image11.png"/><Relationship Id="rId25" Type="http://schemas.openxmlformats.org/officeDocument/2006/relationships/image" Target="media/image10.jpeg"/><Relationship Id="rId24" Type="http://schemas.openxmlformats.org/officeDocument/2006/relationships/image" Target="media/image9.png"/><Relationship Id="rId23" Type="http://schemas.openxmlformats.org/officeDocument/2006/relationships/image" Target="media/image8.jpeg"/><Relationship Id="rId22" Type="http://schemas.openxmlformats.org/officeDocument/2006/relationships/image" Target="media/image7.jpeg"/><Relationship Id="rId21" Type="http://schemas.openxmlformats.org/officeDocument/2006/relationships/image" Target="media/image6.jpeg"/><Relationship Id="rId20" Type="http://schemas.openxmlformats.org/officeDocument/2006/relationships/image" Target="media/image5.png"/><Relationship Id="rId2" Type="http://schemas.openxmlformats.org/officeDocument/2006/relationships/settings" Target="settings.xml"/><Relationship Id="rId19" Type="http://schemas.openxmlformats.org/officeDocument/2006/relationships/image" Target="media/image4.jpeg"/><Relationship Id="rId18" Type="http://schemas.openxmlformats.org/officeDocument/2006/relationships/image" Target="media/image3.png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34</Pages>
  <Words>19918</Words>
  <Characters>22023</Characters>
  <TotalTime>4</TotalTime>
  <ScaleCrop>false</ScaleCrop>
  <LinksUpToDate>false</LinksUpToDate>
  <CharactersWithSpaces>23528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2023-08-02T18:35:00Z</dcterms:created>
  <dc:creator>Jason</dc:creator>
  <cp:lastModifiedBy>Field</cp:lastModifiedBy>
  <dcterms:modified xsi:type="dcterms:W3CDTF">2023-09-20T01:39:33Z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2023-08-04T09:01:17Z</vt:filetime>
  </property>
  <property fmtid="{D5CDD505-2E9C-101B-9397-08002B2CF9AE}" pid="4" name="KSOProductBuildVer">
    <vt:lpwstr>2052-12.1.0.15374</vt:lpwstr>
  </property>
  <property fmtid="{D5CDD505-2E9C-101B-9397-08002B2CF9AE}" pid="5" name="ICV">
    <vt:lpwstr>BDC2493E4AE748B5B6CABAF00366C105_13</vt:lpwstr>
  </property>
</Properties>
</file>