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rPr>
          <w:rFonts w:ascii="黑体" w:hAnsi="黑体" w:eastAsia="黑体"/>
          <w:b/>
          <w:color w:val="000000"/>
          <w:sz w:val="36"/>
          <w:szCs w:val="36"/>
        </w:rPr>
      </w:pPr>
      <w:bookmarkStart w:id="0" w:name="_Toc143944777"/>
      <w:bookmarkStart w:id="1" w:name="_Toc143057310"/>
      <w:bookmarkStart w:id="2" w:name="_Toc144198138"/>
      <w:bookmarkStart w:id="3" w:name="_Toc207529269"/>
      <w:bookmarkStart w:id="4" w:name="_Toc143944899"/>
      <w:bookmarkStart w:id="5" w:name="_Toc234812429"/>
      <w:bookmarkStart w:id="6" w:name="_Toc143943435"/>
      <w:bookmarkStart w:id="7" w:name="_Toc208717494"/>
      <w:r>
        <w:rPr>
          <w:rFonts w:hint="eastAsia" w:ascii="黑体" w:hAnsi="黑体" w:eastAsia="黑体"/>
          <w:b/>
          <w:color w:val="000000"/>
          <w:sz w:val="36"/>
          <w:szCs w:val="36"/>
        </w:rPr>
        <w:t>北京林业大学研究生“学术之星”评选办法</w:t>
      </w:r>
      <w:bookmarkEnd w:id="0"/>
      <w:bookmarkEnd w:id="1"/>
      <w:bookmarkEnd w:id="2"/>
      <w:bookmarkEnd w:id="3"/>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b/>
          <w:color w:val="000000"/>
          <w:sz w:val="24"/>
          <w:szCs w:val="24"/>
        </w:rPr>
      </w:pPr>
      <w:r>
        <w:rPr>
          <w:rFonts w:hint="eastAsia" w:ascii="宋体" w:hAnsi="宋体"/>
          <w:b/>
          <w:color w:val="000000"/>
          <w:sz w:val="24"/>
          <w:szCs w:val="24"/>
        </w:rPr>
        <w:t>总  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sz w:val="24"/>
          <w:szCs w:val="24"/>
        </w:rPr>
        <w:t>第一条</w:t>
      </w:r>
      <w:r>
        <w:rPr>
          <w:rFonts w:ascii="宋体" w:hAnsi="宋体"/>
          <w:color w:val="000000"/>
          <w:sz w:val="24"/>
          <w:szCs w:val="24"/>
        </w:rPr>
        <w:t xml:space="preserve"> 为大力弘扬求是、拓新的科学精神，积极营造健康向上的校园学术氛围，真正实践求真知、树高材；发现和培养学生身边的学术典型，引导广大研究生努力成为基础扎实、知识广博、专业精深、具有创新意识与创新能力的优秀人才，特举办北京林业大学研究生“学术之星”评选活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 xml:space="preserve">第二条  </w:t>
      </w:r>
      <w:r>
        <w:rPr>
          <w:rFonts w:ascii="宋体" w:hAnsi="宋体"/>
          <w:color w:val="000000"/>
          <w:sz w:val="24"/>
          <w:szCs w:val="24"/>
        </w:rPr>
        <w:t>活动由北京林业大学党委研究生工作部、研究生院主办、北京林业大学研究生会承办，各学院研究生会协办。特聘我校各学院、各专业的知名学者和</w:t>
      </w:r>
      <w:bookmarkStart w:id="10" w:name="_GoBack"/>
      <w:bookmarkEnd w:id="10"/>
      <w:r>
        <w:rPr>
          <w:rFonts w:ascii="宋体" w:hAnsi="宋体"/>
          <w:color w:val="000000"/>
          <w:sz w:val="24"/>
          <w:szCs w:val="24"/>
        </w:rPr>
        <w:t>教授担任学术委员会评委，评选</w:t>
      </w:r>
      <w:r>
        <w:rPr>
          <w:rFonts w:hint="eastAsia" w:ascii="宋体" w:hAnsi="宋体"/>
          <w:color w:val="000000"/>
          <w:sz w:val="24"/>
          <w:szCs w:val="24"/>
        </w:rPr>
        <w:t>年度</w:t>
      </w:r>
      <w:r>
        <w:rPr>
          <w:rFonts w:ascii="宋体" w:hAnsi="宋体"/>
          <w:color w:val="000000"/>
          <w:sz w:val="24"/>
          <w:szCs w:val="24"/>
        </w:rPr>
        <w:t>“学术之星”，并对评选活动中的优秀论文汇编为《林之萃（</w:t>
      </w:r>
      <w:r>
        <w:rPr>
          <w:rFonts w:hint="eastAsia" w:ascii="宋体" w:hAnsi="宋体"/>
          <w:color w:val="000000"/>
          <w:sz w:val="24"/>
          <w:szCs w:val="24"/>
        </w:rPr>
        <w:t>20</w:t>
      </w:r>
      <w:r>
        <w:rPr>
          <w:rFonts w:hint="eastAsia" w:ascii="宋体" w:hAnsi="宋体"/>
          <w:color w:val="000000"/>
          <w:sz w:val="24"/>
          <w:szCs w:val="24"/>
          <w:lang w:val="en-US" w:eastAsia="zh-CN"/>
        </w:rPr>
        <w:t>20</w:t>
      </w:r>
      <w:r>
        <w:rPr>
          <w:rFonts w:ascii="宋体"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第三条  研究生“学术之星”评选活动以“公平、公开、公正、规范、独立”为基本原则，杜绝任何组织或个人影响或干涉评选过程及结果。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第四条  本办法适用于北京林业大学研究生“学术之星”评选的各项活动，评选过程必须严格执行本办法。</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rPr>
          <w:rFonts w:ascii="宋体" w:hAnsi="宋体"/>
          <w:b/>
          <w:color w:val="000000"/>
          <w:sz w:val="24"/>
          <w:szCs w:val="24"/>
        </w:rPr>
      </w:pPr>
      <w:r>
        <w:rPr>
          <w:rFonts w:hint="eastAsia" w:ascii="宋体" w:hAnsi="宋体"/>
          <w:b/>
          <w:color w:val="000000"/>
          <w:sz w:val="24"/>
          <w:szCs w:val="24"/>
        </w:rPr>
        <w:t>第一章  参评对象及条件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第五条  北京林业大学研究生“学术之星”评选活动的参评者，必须是北京林业大学注册在读的硕士研究生或博士研究生，并需提供近两年（注：成果年限201</w:t>
      </w:r>
      <w:r>
        <w:rPr>
          <w:rFonts w:hint="eastAsia" w:ascii="宋体" w:hAnsi="宋体"/>
          <w:color w:val="000000"/>
          <w:sz w:val="24"/>
          <w:szCs w:val="24"/>
          <w:lang w:val="en-US" w:eastAsia="zh-CN"/>
        </w:rPr>
        <w:t>8</w:t>
      </w:r>
      <w:r>
        <w:rPr>
          <w:rFonts w:hint="eastAsia" w:ascii="宋体" w:hAnsi="宋体"/>
          <w:color w:val="000000"/>
          <w:sz w:val="24"/>
          <w:szCs w:val="24"/>
        </w:rPr>
        <w:t>年9月1号-20</w:t>
      </w:r>
      <w:r>
        <w:rPr>
          <w:rFonts w:hint="eastAsia" w:ascii="宋体" w:hAnsi="宋体"/>
          <w:color w:val="000000"/>
          <w:sz w:val="24"/>
          <w:szCs w:val="24"/>
          <w:lang w:val="en-US" w:eastAsia="zh-CN"/>
        </w:rPr>
        <w:t>20</w:t>
      </w:r>
      <w:r>
        <w:rPr>
          <w:rFonts w:hint="eastAsia" w:ascii="宋体" w:hAnsi="宋体"/>
          <w:color w:val="000000"/>
          <w:sz w:val="24"/>
          <w:szCs w:val="24"/>
        </w:rPr>
        <w:t>年9月1号）在读期间正式取得的学术研究成果（在读时间不足两年的以实际在读时间计），且研究成果所属单位必须为北京林业大学。</w:t>
      </w:r>
      <w:r>
        <w:rPr>
          <w:rFonts w:ascii="宋体" w:hAnsi="宋体"/>
          <w:color w:val="000000"/>
          <w:sz w:val="24"/>
          <w:szCs w:val="24"/>
        </w:rPr>
        <w:t>凡符合下列条件之一者，均可参评。为体现评选的公平性，对于个人学术之星的评选资格为隔年</w:t>
      </w:r>
      <w:r>
        <w:rPr>
          <w:rFonts w:hint="eastAsia" w:ascii="宋体" w:hAnsi="宋体"/>
          <w:color w:val="000000"/>
          <w:sz w:val="24"/>
          <w:szCs w:val="24"/>
        </w:rPr>
        <w:t>评选</w:t>
      </w:r>
      <w:r>
        <w:rPr>
          <w:rFonts w:ascii="宋体"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（一）</w:t>
      </w:r>
      <w:r>
        <w:rPr>
          <w:rFonts w:ascii="宋体" w:hAnsi="宋体"/>
          <w:color w:val="000000"/>
          <w:sz w:val="24"/>
          <w:szCs w:val="24"/>
        </w:rPr>
        <w:t>学术论文类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（1）以第一作者或第二作者完成专著一部以上（含）者；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（2）SCI、SSCI索引收录的论文第一作者一篇以上（含）者；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（3）EI索引收录的论文第一作者两篇以上（含）者；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（4）EI索引收录的论文第一作者一篇加ISTP索引收录的论文第一作者一篇或ISTP索引收录的论文第一作者三篇以上（含）者；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（5）第一作者发表国际刊物一篇以上（含）者；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（6）</w:t>
      </w:r>
      <w:r>
        <w:rPr>
          <w:rFonts w:hint="eastAsia" w:ascii="宋体" w:hAnsi="宋体"/>
          <w:color w:val="000000"/>
          <w:sz w:val="24"/>
          <w:szCs w:val="24"/>
        </w:rPr>
        <w:t>自然科学类研究生以</w:t>
      </w:r>
      <w:r>
        <w:rPr>
          <w:rFonts w:ascii="宋体" w:hAnsi="宋体"/>
          <w:color w:val="000000"/>
          <w:sz w:val="24"/>
          <w:szCs w:val="24"/>
        </w:rPr>
        <w:t>第一作者发表中文核心期刊、国际会议论文、参编著作累计</w:t>
      </w:r>
      <w:r>
        <w:rPr>
          <w:rFonts w:hint="eastAsia" w:ascii="宋体" w:hAnsi="宋体"/>
          <w:color w:val="000000"/>
          <w:sz w:val="24"/>
          <w:szCs w:val="24"/>
        </w:rPr>
        <w:t>三</w:t>
      </w:r>
      <w:r>
        <w:rPr>
          <w:rFonts w:ascii="宋体" w:hAnsi="宋体"/>
          <w:color w:val="000000"/>
          <w:sz w:val="24"/>
          <w:szCs w:val="24"/>
        </w:rPr>
        <w:t>篇以上</w:t>
      </w:r>
      <w:r>
        <w:rPr>
          <w:rFonts w:hint="eastAsia" w:ascii="宋体" w:hAnsi="宋体"/>
          <w:color w:val="000000"/>
          <w:sz w:val="24"/>
          <w:szCs w:val="24"/>
        </w:rPr>
        <w:t>（含）</w:t>
      </w:r>
      <w:r>
        <w:rPr>
          <w:rFonts w:ascii="宋体" w:hAnsi="宋体"/>
          <w:color w:val="000000"/>
          <w:sz w:val="24"/>
          <w:szCs w:val="24"/>
        </w:rPr>
        <w:t>者。</w:t>
      </w:r>
      <w:r>
        <w:rPr>
          <w:rFonts w:hint="eastAsia" w:ascii="宋体" w:hAnsi="宋体"/>
          <w:color w:val="000000"/>
          <w:sz w:val="24"/>
          <w:szCs w:val="24"/>
        </w:rPr>
        <w:t>人文社科类研究生以</w:t>
      </w:r>
      <w:r>
        <w:rPr>
          <w:rFonts w:ascii="宋体" w:hAnsi="宋体"/>
          <w:color w:val="000000"/>
          <w:sz w:val="24"/>
          <w:szCs w:val="24"/>
        </w:rPr>
        <w:t>第一作者发表中文核心期刊、国际会议论文、参编著作</w:t>
      </w:r>
      <w:r>
        <w:rPr>
          <w:rFonts w:hint="eastAsia" w:ascii="宋体" w:hAnsi="宋体"/>
          <w:color w:val="000000"/>
          <w:sz w:val="24"/>
          <w:szCs w:val="24"/>
        </w:rPr>
        <w:t>一</w:t>
      </w:r>
      <w:r>
        <w:rPr>
          <w:rFonts w:ascii="宋体" w:hAnsi="宋体"/>
          <w:color w:val="000000"/>
          <w:sz w:val="24"/>
          <w:szCs w:val="24"/>
        </w:rPr>
        <w:t>篇以上</w:t>
      </w:r>
      <w:r>
        <w:rPr>
          <w:rFonts w:hint="eastAsia" w:ascii="宋体" w:hAnsi="宋体"/>
          <w:color w:val="000000"/>
          <w:sz w:val="24"/>
          <w:szCs w:val="24"/>
        </w:rPr>
        <w:t>（含）</w:t>
      </w:r>
      <w:r>
        <w:rPr>
          <w:rFonts w:ascii="宋体" w:hAnsi="宋体"/>
          <w:color w:val="000000"/>
          <w:sz w:val="24"/>
          <w:szCs w:val="24"/>
        </w:rPr>
        <w:t>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（二）</w:t>
      </w:r>
      <w:r>
        <w:rPr>
          <w:rFonts w:ascii="宋体" w:hAnsi="宋体"/>
          <w:color w:val="000000"/>
          <w:sz w:val="24"/>
          <w:szCs w:val="24"/>
        </w:rPr>
        <w:t>科研成果类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（1）作为完成人获得省部级科研成果三等奖以上（含）者；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（2）作为排名前三位完成人获得地、市、厅级科研成果一等奖以上（含）者；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（3）作为第一完成人获得地、市、厅级科研成果三等奖以上（含）者。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（三）</w:t>
      </w:r>
      <w:r>
        <w:rPr>
          <w:rFonts w:ascii="宋体" w:hAnsi="宋体"/>
          <w:color w:val="000000"/>
          <w:sz w:val="24"/>
          <w:szCs w:val="24"/>
        </w:rPr>
        <w:t>专利发明类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（1）发明专利排名前四位者；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（2）实用新型专利排名前两位者；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（3）外观设计专利排名第一位者。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（四）</w:t>
      </w:r>
      <w:r>
        <w:rPr>
          <w:rFonts w:ascii="宋体" w:hAnsi="宋体"/>
          <w:color w:val="000000"/>
          <w:sz w:val="24"/>
          <w:szCs w:val="24"/>
        </w:rPr>
        <w:t>科技学术</w:t>
      </w:r>
      <w:r>
        <w:rPr>
          <w:rFonts w:hint="eastAsia" w:ascii="宋体" w:hAnsi="宋体"/>
          <w:color w:val="000000"/>
          <w:sz w:val="24"/>
          <w:szCs w:val="24"/>
        </w:rPr>
        <w:t>或设计</w:t>
      </w:r>
      <w:r>
        <w:rPr>
          <w:rFonts w:ascii="宋体" w:hAnsi="宋体"/>
          <w:color w:val="000000"/>
          <w:sz w:val="24"/>
          <w:szCs w:val="24"/>
        </w:rPr>
        <w:t>竞赛类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（1）国际及国家级科技学术</w:t>
      </w:r>
      <w:r>
        <w:rPr>
          <w:rFonts w:hint="eastAsia" w:ascii="宋体" w:hAnsi="宋体"/>
          <w:color w:val="000000"/>
          <w:sz w:val="24"/>
          <w:szCs w:val="24"/>
        </w:rPr>
        <w:t>或设计</w:t>
      </w:r>
      <w:r>
        <w:rPr>
          <w:rFonts w:ascii="宋体" w:hAnsi="宋体"/>
          <w:color w:val="000000"/>
          <w:sz w:val="24"/>
          <w:szCs w:val="24"/>
        </w:rPr>
        <w:t>竞赛三等奖以上（含）者；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（2）省部级科技学术</w:t>
      </w:r>
      <w:r>
        <w:rPr>
          <w:rFonts w:hint="eastAsia" w:ascii="宋体" w:hAnsi="宋体"/>
          <w:color w:val="000000"/>
          <w:sz w:val="24"/>
          <w:szCs w:val="24"/>
        </w:rPr>
        <w:t>或设计</w:t>
      </w:r>
      <w:r>
        <w:rPr>
          <w:rFonts w:ascii="宋体" w:hAnsi="宋体"/>
          <w:color w:val="000000"/>
          <w:sz w:val="24"/>
          <w:szCs w:val="24"/>
        </w:rPr>
        <w:t>竞赛二等奖以上（含）者。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第六条  北京林业大学研究生“学术之星”评选活动的参评者必须严格遵守本办法的各项规定，服从北京林业大学研究生“学术之星”评选活动组织委员会的安排，如实提供各种材料。如有造假行为，一经查证，取消参评资格；已经获得奖励的，撤销荣誉，收回奖金。</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rPr>
          <w:rFonts w:ascii="宋体" w:hAnsi="宋体"/>
          <w:b/>
          <w:color w:val="000000"/>
          <w:sz w:val="24"/>
          <w:szCs w:val="24"/>
        </w:rPr>
      </w:pPr>
      <w:r>
        <w:rPr>
          <w:rFonts w:hint="eastAsia" w:ascii="宋体" w:hAnsi="宋体"/>
          <w:b/>
          <w:color w:val="000000"/>
          <w:sz w:val="24"/>
          <w:szCs w:val="24"/>
        </w:rPr>
        <w:t>第二章  组织机构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第七条  北京林业大学研究生“学术之星”评选活动设组织委员会、监督委员会、初评委员会和终评委员会四个机构。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第八条  组织委员会负责具体策划、筹备、组织“学术之星”评选的各项活动。组织委员会由北京林业大学研究生委员会组建，并受监督委员会监督。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第九条  监督委员会负责对评选活动的初评和终评环节进行全程监督。监督委员会由研究生院、研工部及各学院主管领导组成。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第十条  初评委员会负责对所有报名参加北京林业大学学院“学术之星”的参评者进行初评，初评必须严格执行组织委员会制定发放的初评标准，评选出学术之星候选人。初评委员会由学院专家和学院研究生会组成，并报组织委员会备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第十一条  终评委员会负责对推选的北京林业大学研究生“学术之星”候选人进行终评答辩。以初评分数、投票得分和答辩得分之和作为候选人选的最终得分，根据最终得分评出北京林业大学研究生“学术之星”。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第十二条  终评委员会成员由组织委员会负责邀请，邀请对象须为候选人相关专业领域的专家学者，各单位可以列出相关领域的五位专家供组织委员会参考。</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rPr>
          <w:rFonts w:ascii="宋体" w:hAnsi="宋体"/>
          <w:b/>
          <w:color w:val="000000"/>
          <w:sz w:val="24"/>
          <w:szCs w:val="24"/>
        </w:rPr>
      </w:pPr>
      <w:r>
        <w:rPr>
          <w:rFonts w:hint="eastAsia" w:ascii="宋体" w:hAnsi="宋体"/>
          <w:b/>
          <w:color w:val="000000"/>
          <w:sz w:val="24"/>
          <w:szCs w:val="24"/>
        </w:rPr>
        <w:t>第三章  奖项设置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 xml:space="preserve">第十三条  </w:t>
      </w:r>
      <w:r>
        <w:rPr>
          <w:rFonts w:ascii="宋体" w:hAnsi="宋体"/>
          <w:color w:val="000000"/>
          <w:sz w:val="24"/>
          <w:szCs w:val="24"/>
        </w:rPr>
        <w:t>评选活动设置</w:t>
      </w:r>
      <w:r>
        <w:rPr>
          <w:rFonts w:hint="eastAsia" w:ascii="宋体" w:hAnsi="宋体"/>
          <w:color w:val="000000"/>
          <w:sz w:val="24"/>
          <w:szCs w:val="24"/>
        </w:rPr>
        <w:t>北京林业大学研究生“学术之星”及“学术之星”提名奖、北京林业大学“学术之星优秀指导教师”称号等奖项。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第十四条  北京林业大学研究生“学术之星”提名奖获得者由学校颁发证书。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第十五条  北京林业大学研究生“学术之星”由学校颁发</w:t>
      </w:r>
      <w:r>
        <w:rPr>
          <w:rFonts w:ascii="宋体" w:hAnsi="宋体"/>
          <w:color w:val="000000"/>
          <w:sz w:val="24"/>
          <w:szCs w:val="24"/>
          <w:highlight w:val="none"/>
        </w:rPr>
        <w:t>“</w:t>
      </w:r>
      <w:r>
        <w:rPr>
          <w:rFonts w:hint="eastAsia" w:ascii="宋体" w:hAnsi="宋体"/>
          <w:color w:val="000000"/>
          <w:sz w:val="24"/>
          <w:szCs w:val="24"/>
          <w:highlight w:val="none"/>
        </w:rPr>
        <w:t>北京林业大学研究生‘学术之星’</w:t>
      </w:r>
      <w:r>
        <w:rPr>
          <w:rFonts w:ascii="宋体" w:hAnsi="宋体"/>
          <w:color w:val="000000"/>
          <w:sz w:val="24"/>
          <w:szCs w:val="24"/>
          <w:highlight w:val="none"/>
        </w:rPr>
        <w:t>”</w:t>
      </w:r>
      <w:r>
        <w:rPr>
          <w:rFonts w:hint="eastAsia" w:ascii="宋体" w:hAnsi="宋体"/>
          <w:color w:val="000000"/>
          <w:sz w:val="24"/>
          <w:szCs w:val="24"/>
          <w:highlight w:val="none"/>
        </w:rPr>
        <w:t>证书，并奖励</w:t>
      </w:r>
      <w:r>
        <w:rPr>
          <w:rFonts w:ascii="宋体" w:hAnsi="宋体"/>
          <w:color w:val="000000"/>
          <w:sz w:val="24"/>
          <w:szCs w:val="24"/>
          <w:highlight w:val="none"/>
        </w:rPr>
        <w:t>1000</w:t>
      </w:r>
      <w:r>
        <w:rPr>
          <w:rFonts w:hint="eastAsia" w:ascii="宋体" w:hAnsi="宋体"/>
          <w:color w:val="000000"/>
          <w:sz w:val="24"/>
          <w:szCs w:val="24"/>
          <w:highlight w:val="none"/>
        </w:rPr>
        <w:t>元</w:t>
      </w:r>
      <w:r>
        <w:rPr>
          <w:rFonts w:ascii="宋体" w:hAnsi="宋体"/>
          <w:color w:val="000000"/>
          <w:sz w:val="24"/>
          <w:szCs w:val="24"/>
          <w:highlight w:val="none"/>
        </w:rPr>
        <w:t>/</w:t>
      </w:r>
      <w:r>
        <w:rPr>
          <w:rFonts w:hint="eastAsia" w:ascii="宋体" w:hAnsi="宋体"/>
          <w:color w:val="000000"/>
          <w:sz w:val="24"/>
          <w:szCs w:val="24"/>
          <w:highlight w:val="none"/>
        </w:rPr>
        <w:t>人，“学术之星”获得者的指导教师由学校颁发北京林业大学研究生“学术之星优秀指导教师</w:t>
      </w:r>
      <w:r>
        <w:rPr>
          <w:rFonts w:ascii="宋体" w:hAnsi="宋体"/>
          <w:color w:val="000000"/>
          <w:sz w:val="24"/>
          <w:szCs w:val="24"/>
          <w:highlight w:val="none"/>
        </w:rPr>
        <w:t>”</w:t>
      </w:r>
      <w:r>
        <w:rPr>
          <w:rFonts w:hint="eastAsia" w:ascii="宋体" w:hAnsi="宋体"/>
          <w:color w:val="000000"/>
          <w:sz w:val="24"/>
          <w:szCs w:val="24"/>
          <w:highlight w:val="none"/>
        </w:rPr>
        <w:t>证书。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 xml:space="preserve">第十六条  </w:t>
      </w:r>
      <w:r>
        <w:rPr>
          <w:rFonts w:ascii="宋体" w:hAnsi="宋体"/>
          <w:color w:val="000000"/>
          <w:sz w:val="24"/>
          <w:szCs w:val="24"/>
        </w:rPr>
        <w:t>评选出的学术之星所在学院将报组织量化部加分。但如耽误工作将扣去相应分数。同时</w:t>
      </w:r>
      <w:r>
        <w:rPr>
          <w:rFonts w:hint="eastAsia" w:ascii="宋体" w:hAnsi="宋体"/>
          <w:color w:val="000000"/>
          <w:sz w:val="24"/>
          <w:szCs w:val="24"/>
        </w:rPr>
        <w:t>治学以诚信为本</w:t>
      </w:r>
      <w:r>
        <w:rPr>
          <w:rFonts w:ascii="宋体" w:hAnsi="宋体"/>
          <w:color w:val="000000"/>
          <w:sz w:val="24"/>
          <w:szCs w:val="24"/>
        </w:rPr>
        <w:t>，一旦发现有造假等</w:t>
      </w:r>
      <w:r>
        <w:rPr>
          <w:rFonts w:hint="eastAsia" w:ascii="宋体" w:hAnsi="宋体"/>
          <w:color w:val="000000"/>
          <w:sz w:val="24"/>
          <w:szCs w:val="24"/>
          <w:lang w:eastAsia="zh-CN"/>
        </w:rPr>
        <w:t>情况</w:t>
      </w:r>
      <w:r>
        <w:rPr>
          <w:rFonts w:ascii="宋体" w:hAnsi="宋体"/>
          <w:color w:val="000000"/>
          <w:sz w:val="24"/>
          <w:szCs w:val="24"/>
        </w:rPr>
        <w:t>将取消所在学院两年的参评资格。</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rPr>
          <w:rFonts w:ascii="宋体" w:hAnsi="宋体"/>
          <w:b/>
          <w:color w:val="000000"/>
          <w:sz w:val="24"/>
          <w:szCs w:val="24"/>
        </w:rPr>
      </w:pPr>
      <w:r>
        <w:rPr>
          <w:rFonts w:hint="eastAsia" w:ascii="宋体" w:hAnsi="宋体"/>
          <w:b/>
          <w:color w:val="000000"/>
          <w:sz w:val="24"/>
          <w:szCs w:val="24"/>
        </w:rPr>
        <w:t>第四章  评选流程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第十七条  报名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学术之星”评选活动报名采取个人自荐与单位推荐相结合的形式进行，凡符合条件的研究生均可报名。参评者直接将报名表及报名所需的相关材料（包括书面材料和电子版材料）交至各学院研究生工作办公室，各学院报名参评人数不限。报名必须在组委会规定的时间内提交各阶段的资料，否则不得进入初评，更无资格参加终评。</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rPr>
          <w:rFonts w:ascii="宋体" w:hAnsi="宋体"/>
          <w:b/>
          <w:bCs/>
          <w:color w:val="000000"/>
          <w:sz w:val="24"/>
          <w:szCs w:val="24"/>
        </w:rPr>
      </w:pPr>
      <w:r>
        <w:rPr>
          <w:rFonts w:hint="eastAsia" w:ascii="宋体" w:hAnsi="宋体"/>
          <w:b/>
          <w:bCs/>
          <w:color w:val="000000"/>
          <w:sz w:val="24"/>
          <w:szCs w:val="24"/>
        </w:rPr>
        <w:t>关于报名所需提交材料说明如下</w:t>
      </w:r>
      <w:r>
        <w:rPr>
          <w:rFonts w:hint="eastAsia" w:ascii="宋体" w:hAnsi="宋体"/>
          <w:b/>
          <w:bCs/>
          <w:color w:val="000000"/>
          <w:sz w:val="24"/>
          <w:szCs w:val="24"/>
          <w:lang w:eastAsia="zh-CN"/>
        </w:rPr>
        <w:t>（相关模板请</w:t>
      </w:r>
      <w:r>
        <w:rPr>
          <w:rFonts w:ascii="宋体" w:hAnsi="宋体"/>
          <w:b/>
          <w:bCs/>
          <w:color w:val="000000"/>
          <w:sz w:val="24"/>
          <w:szCs w:val="24"/>
        </w:rPr>
        <w:t>到研究生院主页</w:t>
      </w:r>
      <w:r>
        <w:rPr>
          <w:rFonts w:hint="eastAsia" w:ascii="宋体" w:hAnsi="宋体"/>
          <w:b/>
          <w:bCs/>
          <w:color w:val="000000"/>
          <w:sz w:val="24"/>
          <w:szCs w:val="24"/>
          <w:lang w:eastAsia="zh-CN"/>
        </w:rPr>
        <w:t>研工动态板块</w:t>
      </w:r>
      <w:r>
        <w:rPr>
          <w:rFonts w:ascii="宋体" w:hAnsi="宋体"/>
          <w:b/>
          <w:bCs/>
          <w:color w:val="000000"/>
          <w:sz w:val="24"/>
          <w:szCs w:val="24"/>
        </w:rPr>
        <w:t>下载</w:t>
      </w:r>
      <w:r>
        <w:rPr>
          <w:rFonts w:hint="eastAsia" w:ascii="宋体" w:hAnsi="宋体"/>
          <w:b/>
          <w:bCs/>
          <w:color w:val="000000"/>
          <w:sz w:val="24"/>
          <w:szCs w:val="24"/>
          <w:lang w:eastAsia="zh-CN"/>
        </w:rPr>
        <w:t>）</w:t>
      </w:r>
      <w:r>
        <w:rPr>
          <w:rFonts w:hint="eastAsia" w:ascii="宋体" w:hAnsi="宋体"/>
          <w:b/>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（一）</w:t>
      </w:r>
      <w:r>
        <w:rPr>
          <w:rFonts w:ascii="宋体" w:hAnsi="宋体"/>
          <w:color w:val="000000"/>
          <w:sz w:val="24"/>
          <w:szCs w:val="24"/>
        </w:rPr>
        <w:t>电子资料：</w:t>
      </w:r>
    </w:p>
    <w:p>
      <w:pPr>
        <w:keepNext w:val="0"/>
        <w:keepLines w:val="0"/>
        <w:pageBreakBefore w:val="0"/>
        <w:widowControl w:val="0"/>
        <w:kinsoku/>
        <w:wordWrap/>
        <w:overflowPunct/>
        <w:topLinePunct w:val="0"/>
        <w:autoSpaceDE/>
        <w:autoSpaceDN/>
        <w:bidi w:val="0"/>
        <w:adjustRightInd/>
        <w:snapToGrid/>
        <w:spacing w:line="520" w:lineRule="exact"/>
        <w:ind w:firstLine="420"/>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北京林业大学</w:t>
      </w:r>
      <w:r>
        <w:rPr>
          <w:rFonts w:hint="eastAsia" w:ascii="宋体" w:hAnsi="宋体"/>
          <w:color w:val="000000"/>
          <w:sz w:val="24"/>
          <w:szCs w:val="24"/>
          <w:lang w:eastAsia="zh-CN"/>
        </w:rPr>
        <w:t>第十二届</w:t>
      </w:r>
      <w:r>
        <w:rPr>
          <w:rFonts w:ascii="宋体" w:hAnsi="宋体"/>
          <w:color w:val="000000"/>
          <w:sz w:val="24"/>
          <w:szCs w:val="24"/>
        </w:rPr>
        <w:t>研究生</w:t>
      </w:r>
      <w:r>
        <w:rPr>
          <w:rFonts w:hint="eastAsia" w:ascii="宋体" w:hAnsi="宋体"/>
          <w:color w:val="000000"/>
          <w:sz w:val="24"/>
          <w:szCs w:val="24"/>
          <w:lang w:eastAsia="zh-CN"/>
        </w:rPr>
        <w:t>“</w:t>
      </w:r>
      <w:r>
        <w:rPr>
          <w:rFonts w:ascii="宋体" w:hAnsi="宋体"/>
          <w:color w:val="000000"/>
          <w:sz w:val="24"/>
          <w:szCs w:val="24"/>
        </w:rPr>
        <w:t>学术之星</w:t>
      </w:r>
      <w:r>
        <w:rPr>
          <w:rFonts w:hint="eastAsia" w:ascii="宋体" w:hAnsi="宋体"/>
          <w:color w:val="000000"/>
          <w:sz w:val="24"/>
          <w:szCs w:val="24"/>
          <w:lang w:eastAsia="zh-CN"/>
        </w:rPr>
        <w:t>”</w:t>
      </w:r>
      <w:r>
        <w:rPr>
          <w:rFonts w:ascii="宋体" w:hAnsi="宋体"/>
          <w:color w:val="000000"/>
          <w:sz w:val="24"/>
          <w:szCs w:val="24"/>
        </w:rPr>
        <w:t>评选申请表</w:t>
      </w:r>
      <w:r>
        <w:rPr>
          <w:rFonts w:hint="eastAsia" w:ascii="宋体" w:hAnsi="宋体"/>
          <w:color w:val="000000"/>
          <w:sz w:val="24"/>
          <w:szCs w:val="24"/>
          <w:lang w:eastAsia="zh-CN"/>
        </w:rPr>
        <w:t>：</w:t>
      </w:r>
      <w:r>
        <w:rPr>
          <w:rFonts w:ascii="宋体" w:hAnsi="宋体"/>
          <w:color w:val="000000"/>
          <w:sz w:val="24"/>
          <w:szCs w:val="24"/>
        </w:rPr>
        <w:t>填写并插入照片。</w:t>
      </w:r>
    </w:p>
    <w:p>
      <w:pPr>
        <w:keepNext w:val="0"/>
        <w:keepLines w:val="0"/>
        <w:pageBreakBefore w:val="0"/>
        <w:widowControl w:val="0"/>
        <w:kinsoku/>
        <w:wordWrap/>
        <w:overflowPunct/>
        <w:topLinePunct w:val="0"/>
        <w:autoSpaceDE/>
        <w:autoSpaceDN/>
        <w:bidi w:val="0"/>
        <w:adjustRightInd/>
        <w:snapToGrid/>
        <w:spacing w:line="520" w:lineRule="exact"/>
        <w:ind w:firstLine="420"/>
        <w:jc w:val="lef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w:t>
      </w:r>
      <w:r>
        <w:rPr>
          <w:rFonts w:hint="eastAsia" w:ascii="宋体" w:hAnsi="宋体"/>
          <w:color w:val="000000"/>
          <w:sz w:val="24"/>
          <w:szCs w:val="24"/>
        </w:rPr>
        <w:t>北京林业大学研究生“学术之星”申请人科研成果统计表：科研成果统计表中期刊影响因子一项必须为</w:t>
      </w:r>
      <w:r>
        <w:rPr>
          <w:rFonts w:ascii="宋体" w:hAnsi="宋体"/>
          <w:color w:val="000000"/>
          <w:sz w:val="24"/>
          <w:szCs w:val="24"/>
        </w:rPr>
        <w:t>SCI/EI/SSCI/CSSCI</w:t>
      </w:r>
      <w:r>
        <w:rPr>
          <w:rFonts w:hint="eastAsia" w:ascii="宋体" w:hAnsi="宋体"/>
          <w:color w:val="000000"/>
          <w:sz w:val="24"/>
          <w:szCs w:val="24"/>
        </w:rPr>
        <w:t>等收录的期刊在论文发表年度的影响因子。</w:t>
      </w:r>
    </w:p>
    <w:p>
      <w:pPr>
        <w:keepNext w:val="0"/>
        <w:keepLines w:val="0"/>
        <w:pageBreakBefore w:val="0"/>
        <w:widowControl w:val="0"/>
        <w:kinsoku/>
        <w:wordWrap/>
        <w:overflowPunct/>
        <w:topLinePunct w:val="0"/>
        <w:autoSpaceDE/>
        <w:autoSpaceDN/>
        <w:bidi w:val="0"/>
        <w:adjustRightInd/>
        <w:snapToGrid/>
        <w:spacing w:line="520" w:lineRule="exact"/>
        <w:ind w:firstLine="420"/>
        <w:jc w:val="left"/>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word版作品（论文或专利等）或</w:t>
      </w:r>
      <w:r>
        <w:rPr>
          <w:rFonts w:hint="eastAsia" w:ascii="宋体" w:hAnsi="宋体"/>
          <w:color w:val="000000"/>
          <w:sz w:val="24"/>
          <w:szCs w:val="24"/>
        </w:rPr>
        <w:t>pdf</w:t>
      </w:r>
      <w:r>
        <w:rPr>
          <w:rFonts w:ascii="宋体" w:hAnsi="宋体"/>
          <w:color w:val="000000"/>
          <w:sz w:val="24"/>
          <w:szCs w:val="24"/>
        </w:rPr>
        <w:t>版作品（论文或专利等），论文在SCI/EI/SSCI/CSSCI等相应检索结果的网页；</w:t>
      </w:r>
    </w:p>
    <w:p>
      <w:pPr>
        <w:keepNext w:val="0"/>
        <w:keepLines w:val="0"/>
        <w:pageBreakBefore w:val="0"/>
        <w:widowControl w:val="0"/>
        <w:kinsoku/>
        <w:wordWrap/>
        <w:overflowPunct/>
        <w:topLinePunct w:val="0"/>
        <w:autoSpaceDE/>
        <w:autoSpaceDN/>
        <w:bidi w:val="0"/>
        <w:adjustRightInd/>
        <w:snapToGrid/>
        <w:spacing w:line="520" w:lineRule="exact"/>
        <w:ind w:firstLine="420"/>
        <w:jc w:val="left"/>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w:t>
      </w:r>
      <w:r>
        <w:rPr>
          <w:rFonts w:ascii="宋体" w:hAnsi="宋体"/>
          <w:color w:val="000000"/>
          <w:sz w:val="24"/>
          <w:szCs w:val="24"/>
        </w:rPr>
        <w:t>题为《我的科研之路》的科研心得</w:t>
      </w:r>
      <w:r>
        <w:rPr>
          <w:rFonts w:hint="eastAsia" w:ascii="宋体" w:hAnsi="宋体"/>
          <w:color w:val="000000"/>
          <w:sz w:val="24"/>
          <w:szCs w:val="24"/>
        </w:rPr>
        <w:t>（附件</w:t>
      </w:r>
      <w:r>
        <w:rPr>
          <w:rFonts w:hint="eastAsia" w:ascii="宋体" w:hAnsi="宋体"/>
          <w:color w:val="000000"/>
          <w:sz w:val="24"/>
          <w:szCs w:val="24"/>
          <w:lang w:val="en-US" w:eastAsia="zh-CN"/>
        </w:rPr>
        <w:t>7</w:t>
      </w:r>
      <w:r>
        <w:rPr>
          <w:rFonts w:hint="eastAsia" w:ascii="宋体" w:hAnsi="宋体"/>
          <w:color w:val="000000"/>
          <w:sz w:val="24"/>
          <w:szCs w:val="24"/>
        </w:rPr>
        <w:t>）</w:t>
      </w:r>
      <w:r>
        <w:rPr>
          <w:rFonts w:ascii="宋体"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175"/>
        <w:jc w:val="left"/>
        <w:rPr>
          <w:rFonts w:ascii="宋体" w:hAnsi="宋体"/>
          <w:color w:val="000000"/>
          <w:sz w:val="24"/>
          <w:szCs w:val="24"/>
        </w:rPr>
      </w:pPr>
      <w:r>
        <w:rPr>
          <w:rFonts w:hint="eastAsia" w:ascii="宋体" w:hAnsi="宋体"/>
          <w:color w:val="000000"/>
          <w:sz w:val="24"/>
          <w:szCs w:val="24"/>
        </w:rPr>
        <w:t>（二）</w:t>
      </w:r>
      <w:r>
        <w:rPr>
          <w:rFonts w:ascii="宋体" w:hAnsi="宋体"/>
          <w:color w:val="000000"/>
          <w:sz w:val="24"/>
          <w:szCs w:val="24"/>
        </w:rPr>
        <w:t>纸质资料：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评选</w:t>
      </w:r>
      <w:r>
        <w:rPr>
          <w:rFonts w:ascii="宋体" w:hAnsi="宋体"/>
          <w:color w:val="000000"/>
          <w:sz w:val="24"/>
          <w:szCs w:val="24"/>
        </w:rPr>
        <w:t>申请表</w:t>
      </w:r>
      <w:r>
        <w:rPr>
          <w:rFonts w:hint="eastAsia" w:ascii="宋体" w:hAnsi="宋体"/>
          <w:color w:val="000000"/>
          <w:sz w:val="24"/>
          <w:szCs w:val="24"/>
          <w:lang w:eastAsia="zh-CN"/>
        </w:rPr>
        <w:t>，</w:t>
      </w:r>
      <w:r>
        <w:rPr>
          <w:rFonts w:ascii="宋体" w:hAnsi="宋体"/>
          <w:color w:val="000000"/>
          <w:sz w:val="24"/>
          <w:szCs w:val="24"/>
        </w:rPr>
        <w:t>填写并贴上照片，</w:t>
      </w:r>
      <w:r>
        <w:rPr>
          <w:rFonts w:hint="eastAsia" w:ascii="宋体" w:hAnsi="宋体"/>
          <w:color w:val="000000"/>
          <w:sz w:val="24"/>
          <w:szCs w:val="24"/>
          <w:lang w:eastAsia="zh-CN"/>
        </w:rPr>
        <w:t>需</w:t>
      </w:r>
      <w:r>
        <w:rPr>
          <w:rFonts w:ascii="宋体" w:hAnsi="宋体"/>
          <w:color w:val="000000"/>
          <w:sz w:val="24"/>
          <w:szCs w:val="24"/>
        </w:rPr>
        <w:t>学院签字盖章；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论文发表证明；论文所发表期刊的当期封面复印件、有论文名称的目录页、当期期刊内论文的首页</w:t>
      </w:r>
      <w:r>
        <w:rPr>
          <w:rFonts w:hint="eastAsia" w:ascii="宋体" w:hAnsi="宋体"/>
          <w:color w:val="000000"/>
          <w:sz w:val="24"/>
          <w:szCs w:val="24"/>
        </w:rPr>
        <w:t>，论文尚未正式见刊的需提供明确的录用证明；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获奖证书复印件（如有获奖）；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专利授权证书</w:t>
      </w:r>
      <w:r>
        <w:rPr>
          <w:rFonts w:hint="eastAsia" w:ascii="宋体" w:hAnsi="宋体"/>
          <w:color w:val="000000"/>
          <w:sz w:val="24"/>
          <w:szCs w:val="24"/>
        </w:rPr>
        <w:t>、学术专著等封面复印件；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近期一寸免冠照片2张。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第十八条  初评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初评委员会依据初评标准附件一《自然科学类评选标准》和附件二《人文社科类评选标准》对报名材料进行整理和评分，</w:t>
      </w:r>
      <w:r>
        <w:rPr>
          <w:rFonts w:hint="eastAsia" w:ascii="宋体" w:hAnsi="宋体"/>
          <w:color w:val="000000"/>
          <w:sz w:val="24"/>
          <w:szCs w:val="24"/>
          <w:highlight w:val="none"/>
        </w:rPr>
        <w:t>在1</w:t>
      </w:r>
      <w:r>
        <w:rPr>
          <w:rFonts w:ascii="宋体" w:hAnsi="宋体"/>
          <w:color w:val="000000"/>
          <w:sz w:val="24"/>
          <w:szCs w:val="24"/>
          <w:highlight w:val="none"/>
        </w:rPr>
        <w:t>1</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日之前，按照本学院分配名额，根据评分高低选出本院 “学术之星”候选人，在学院内部公示，无异议后，填写附件《学术之星学术成果初评计分表》与“学术之星”候选人</w:t>
      </w:r>
      <w:r>
        <w:rPr>
          <w:rFonts w:hint="eastAsia" w:ascii="宋体" w:hAnsi="宋体"/>
          <w:color w:val="000000"/>
          <w:sz w:val="24"/>
          <w:szCs w:val="24"/>
          <w:highlight w:val="none"/>
          <w:lang w:eastAsia="zh-CN"/>
        </w:rPr>
        <w:t>所有相关材料</w:t>
      </w:r>
      <w:r>
        <w:rPr>
          <w:rFonts w:hint="eastAsia" w:ascii="宋体" w:hAnsi="宋体"/>
          <w:color w:val="000000"/>
          <w:sz w:val="24"/>
          <w:szCs w:val="24"/>
          <w:highlight w:val="none"/>
        </w:rPr>
        <w:t>并在1</w:t>
      </w:r>
      <w:r>
        <w:rPr>
          <w:rFonts w:ascii="宋体" w:hAnsi="宋体"/>
          <w:color w:val="000000"/>
          <w:sz w:val="24"/>
          <w:szCs w:val="24"/>
          <w:highlight w:val="none"/>
        </w:rPr>
        <w:t>1</w:t>
      </w:r>
      <w:r>
        <w:rPr>
          <w:rFonts w:hint="eastAsia" w:ascii="宋体" w:hAnsi="宋体"/>
          <w:color w:val="000000"/>
          <w:sz w:val="24"/>
          <w:szCs w:val="24"/>
          <w:highlight w:val="none"/>
        </w:rPr>
        <w:t>月</w:t>
      </w:r>
      <w:r>
        <w:rPr>
          <w:rFonts w:ascii="宋体" w:hAnsi="宋体"/>
          <w:color w:val="000000"/>
          <w:sz w:val="24"/>
          <w:szCs w:val="24"/>
          <w:highlight w:val="none"/>
        </w:rPr>
        <w:t>1</w:t>
      </w:r>
      <w:r>
        <w:rPr>
          <w:rFonts w:hint="eastAsia" w:ascii="宋体" w:hAnsi="宋体"/>
          <w:color w:val="000000"/>
          <w:sz w:val="24"/>
          <w:szCs w:val="24"/>
          <w:highlight w:val="none"/>
          <w:lang w:val="en-US" w:eastAsia="zh-CN"/>
        </w:rPr>
        <w:t>0</w:t>
      </w:r>
      <w:r>
        <w:rPr>
          <w:rFonts w:hint="eastAsia" w:ascii="宋体" w:hAnsi="宋体"/>
          <w:color w:val="000000"/>
          <w:sz w:val="24"/>
          <w:szCs w:val="24"/>
          <w:highlight w:val="none"/>
        </w:rPr>
        <w:t>日之</w:t>
      </w:r>
      <w:r>
        <w:rPr>
          <w:rFonts w:hint="eastAsia" w:ascii="宋体" w:hAnsi="宋体"/>
          <w:color w:val="000000"/>
          <w:sz w:val="24"/>
          <w:szCs w:val="24"/>
        </w:rPr>
        <w:t>前一并上报组织委员会。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所有北京林业大学研究生“学术之星”候选人的申请材料将由组织委员会送校图书馆对文章的收录情况、影响因子、引用频次等信息进行核实，核实无误后由组织委员会送交终评委员，进入终评环节。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第十九条  终评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终评委员会参加入围研究生的终评答辩并现场打分，得分与学术成果初评得分、群众投票得分相加，根据总分高低，产生北京林业大学研究生“学术之星”</w:t>
      </w:r>
      <w:r>
        <w:rPr>
          <w:rFonts w:ascii="宋体" w:hAnsi="宋体"/>
          <w:color w:val="000000"/>
          <w:sz w:val="24"/>
          <w:szCs w:val="24"/>
        </w:rPr>
        <w:t>10</w:t>
      </w:r>
      <w:r>
        <w:rPr>
          <w:rFonts w:hint="eastAsia" w:ascii="宋体" w:hAnsi="宋体"/>
          <w:color w:val="000000"/>
          <w:sz w:val="24"/>
          <w:szCs w:val="24"/>
        </w:rPr>
        <w:t>人，包括自然科学类</w:t>
      </w:r>
      <w:r>
        <w:rPr>
          <w:rFonts w:hint="eastAsia" w:ascii="宋体" w:hAnsi="宋体"/>
          <w:color w:val="000000"/>
          <w:sz w:val="24"/>
          <w:szCs w:val="24"/>
          <w:lang w:val="en-US" w:eastAsia="zh-CN"/>
        </w:rPr>
        <w:t>8</w:t>
      </w:r>
      <w:r>
        <w:rPr>
          <w:rFonts w:hint="eastAsia" w:ascii="宋体" w:hAnsi="宋体"/>
          <w:color w:val="000000"/>
          <w:sz w:val="24"/>
          <w:szCs w:val="24"/>
        </w:rPr>
        <w:t>人、人文社科类</w:t>
      </w:r>
      <w:r>
        <w:rPr>
          <w:rFonts w:hint="eastAsia" w:ascii="宋体" w:hAnsi="宋体"/>
          <w:color w:val="000000"/>
          <w:sz w:val="24"/>
          <w:szCs w:val="24"/>
          <w:lang w:val="en-US" w:eastAsia="zh-CN"/>
        </w:rPr>
        <w:t>2</w:t>
      </w:r>
      <w:r>
        <w:rPr>
          <w:rFonts w:hint="eastAsia" w:ascii="宋体" w:hAnsi="宋体"/>
          <w:color w:val="000000"/>
          <w:sz w:val="24"/>
          <w:szCs w:val="24"/>
        </w:rPr>
        <w:t>人，以及北京林业大学研究生“学术之星”提名奖</w:t>
      </w:r>
      <w:r>
        <w:rPr>
          <w:rFonts w:ascii="宋体" w:hAnsi="宋体"/>
          <w:color w:val="000000"/>
          <w:sz w:val="24"/>
          <w:szCs w:val="24"/>
        </w:rPr>
        <w:t>若干</w:t>
      </w:r>
      <w:r>
        <w:rPr>
          <w:rFonts w:hint="eastAsia" w:ascii="宋体" w:hAnsi="宋体"/>
          <w:color w:val="000000"/>
          <w:sz w:val="24"/>
          <w:szCs w:val="24"/>
        </w:rPr>
        <w:t>，作为终评结果。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终评结果在全校公示，无异议后，由组织委员会正式发布当年北京林业大学研究生“学术之星”、北京林业大学研究生“学术之星优秀指导教师”及北京林业大学研究生“学术之星”提名奖获得者名单。</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rPr>
          <w:rFonts w:ascii="宋体" w:hAnsi="宋体"/>
          <w:b/>
          <w:color w:val="000000"/>
          <w:sz w:val="24"/>
          <w:szCs w:val="24"/>
        </w:rPr>
      </w:pPr>
      <w:r>
        <w:rPr>
          <w:rFonts w:hint="eastAsia" w:ascii="宋体" w:hAnsi="宋体"/>
          <w:b/>
          <w:color w:val="000000"/>
          <w:sz w:val="24"/>
          <w:szCs w:val="24"/>
        </w:rPr>
        <w:t>第五章  评选标准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第二十条  初评标准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初评委员会根据附件</w:t>
      </w:r>
      <w:bookmarkStart w:id="8" w:name="OLE_LINK4"/>
      <w:bookmarkStart w:id="9" w:name="OLE_LINK3"/>
      <w:r>
        <w:rPr>
          <w:rFonts w:hint="eastAsia" w:ascii="宋体" w:hAnsi="宋体"/>
          <w:color w:val="000000"/>
          <w:sz w:val="24"/>
          <w:szCs w:val="24"/>
        </w:rPr>
        <w:t>一《自然科学类评选标准》和附件二《人文社科类评选标准》</w:t>
      </w:r>
      <w:bookmarkEnd w:id="8"/>
      <w:bookmarkEnd w:id="9"/>
      <w:r>
        <w:rPr>
          <w:rFonts w:hint="eastAsia" w:ascii="宋体" w:hAnsi="宋体"/>
          <w:color w:val="000000"/>
          <w:sz w:val="24"/>
          <w:szCs w:val="24"/>
        </w:rPr>
        <w:t>对申请人的成果进行评分，也可在成果评分的基础上再组织答辩评选，根据得分多少，评选出学校“学术之星”候选人。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第二十一条  终评标准</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Chars="0"/>
        <w:jc w:val="left"/>
        <w:rPr>
          <w:rFonts w:ascii="宋体" w:hAnsi="宋体"/>
          <w:color w:val="000000"/>
          <w:sz w:val="24"/>
        </w:rPr>
      </w:pPr>
      <w:r>
        <w:rPr>
          <w:rFonts w:hint="eastAsia" w:ascii="宋体" w:hAnsi="宋体"/>
          <w:color w:val="000000"/>
          <w:sz w:val="24"/>
        </w:rPr>
        <w:t>终评采用自然科学类和人文社科类现场答辩、分别排名的办法。</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Chars="0"/>
        <w:jc w:val="left"/>
        <w:rPr>
          <w:rFonts w:ascii="宋体" w:hAnsi="宋体"/>
          <w:color w:val="000000"/>
          <w:sz w:val="24"/>
        </w:rPr>
      </w:pPr>
      <w:r>
        <w:rPr>
          <w:rFonts w:hint="eastAsia" w:ascii="宋体" w:hAnsi="宋体"/>
          <w:color w:val="000000"/>
          <w:sz w:val="24"/>
        </w:rPr>
        <w:t>终评答辩时自我陈述时间不得超过5分钟。陈述结束后，由终评委员会和场内师生提问，陈述人答辩。</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Chars="0"/>
        <w:jc w:val="left"/>
        <w:rPr>
          <w:rFonts w:ascii="宋体" w:hAnsi="宋体"/>
          <w:color w:val="000000"/>
          <w:sz w:val="24"/>
        </w:rPr>
      </w:pPr>
      <w:r>
        <w:rPr>
          <w:rFonts w:hint="eastAsia" w:ascii="宋体" w:hAnsi="宋体"/>
          <w:color w:val="000000"/>
          <w:sz w:val="24"/>
        </w:rPr>
        <w:t>终评评分细则如下：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学术成果初评（50分）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按照初评分数作为学术成果计分，分别以自然科学类、人文社科类排名第一者记为最高分50分，其他人参照第一名的得分进行计算，得出初评分数。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lang w:val="en-US" w:eastAsia="zh-CN"/>
        </w:rPr>
        <w:t>2</w:t>
      </w:r>
      <w:r>
        <w:rPr>
          <w:rFonts w:ascii="宋体" w:hAnsi="宋体"/>
          <w:color w:val="000000"/>
          <w:sz w:val="24"/>
          <w:szCs w:val="24"/>
        </w:rPr>
        <w:t>）</w:t>
      </w:r>
      <w:r>
        <w:rPr>
          <w:rFonts w:hint="eastAsia" w:ascii="宋体" w:hAnsi="宋体"/>
          <w:color w:val="000000"/>
          <w:sz w:val="24"/>
          <w:szCs w:val="24"/>
        </w:rPr>
        <w:t>场外观众群众投票（1</w:t>
      </w:r>
      <w:r>
        <w:rPr>
          <w:rFonts w:ascii="宋体" w:hAnsi="宋体"/>
          <w:color w:val="000000"/>
          <w:sz w:val="24"/>
          <w:szCs w:val="24"/>
        </w:rPr>
        <w:t>0</w:t>
      </w:r>
      <w:r>
        <w:rPr>
          <w:rFonts w:hint="eastAsia" w:ascii="宋体" w:hAnsi="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共分5个等级，根据实际票数，得票数前1-3名计10分，第4-6名计9分，第7-9名计8分，第10-12名计7分，第13-15名计6分，</w:t>
      </w:r>
      <w:r>
        <w:rPr>
          <w:rFonts w:hint="eastAsia" w:ascii="宋体" w:hAnsi="宋体"/>
          <w:sz w:val="24"/>
          <w:szCs w:val="24"/>
        </w:rPr>
        <w:t>其余候选人计5分</w:t>
      </w:r>
      <w:r>
        <w:rPr>
          <w:rFonts w:hint="eastAsia" w:ascii="宋体"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lang w:val="en-US" w:eastAsia="zh-CN"/>
        </w:rPr>
        <w:t>3</w:t>
      </w:r>
      <w:r>
        <w:rPr>
          <w:rFonts w:ascii="宋体" w:hAnsi="宋体"/>
          <w:color w:val="000000"/>
          <w:sz w:val="24"/>
          <w:szCs w:val="24"/>
        </w:rPr>
        <w:t>）</w:t>
      </w:r>
      <w:r>
        <w:rPr>
          <w:rFonts w:hint="eastAsia" w:ascii="宋体" w:hAnsi="宋体"/>
          <w:color w:val="000000"/>
          <w:sz w:val="24"/>
          <w:szCs w:val="24"/>
        </w:rPr>
        <w:t>现场答辩（40分）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sz w:val="24"/>
          <w:szCs w:val="24"/>
        </w:rPr>
      </w:pPr>
      <w:r>
        <w:rPr>
          <w:rFonts w:hint="eastAsia" w:ascii="宋体" w:hAnsi="宋体"/>
          <w:sz w:val="24"/>
          <w:szCs w:val="24"/>
        </w:rPr>
        <w:t>专业素质（10分）：个人成长轨迹是否具有榜样性，是否扎实、广泛掌握了相关专业的基础知识及技能，是否具备独立科研能力及团队协作能力。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sz w:val="24"/>
          <w:szCs w:val="24"/>
        </w:rPr>
      </w:pPr>
      <w:r>
        <w:rPr>
          <w:rFonts w:hint="eastAsia" w:ascii="宋体" w:hAnsi="宋体"/>
          <w:sz w:val="24"/>
          <w:szCs w:val="24"/>
        </w:rPr>
        <w:t>科研水平（10分）：科研学术成果所体现出的个人学术水平高低，以及该成果是否对其研究领域有重要贡献。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sz w:val="24"/>
          <w:szCs w:val="24"/>
        </w:rPr>
      </w:pPr>
      <w:r>
        <w:rPr>
          <w:rFonts w:hint="eastAsia" w:ascii="宋体" w:hAnsi="宋体"/>
          <w:sz w:val="24"/>
          <w:szCs w:val="24"/>
        </w:rPr>
        <w:t>科研创新性（10分）：候选人是否具有创新性思维，已取得科研成果及在研项目是否具创新性，候选人个人思考能力能否指导其进行更加深入的研究。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sz w:val="24"/>
          <w:szCs w:val="24"/>
        </w:rPr>
        <w:t>现场答辩表现（10分）：现场表达精神是否饱满，着装是否得体，能否清晰阐明研究成果及意义，能否准确回答评审团老师的提问，答辩内容是否逻辑合理且重点突出。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（五）终评得分由学术成果计分、群众投票计分和现场答辩评审得分三部分相加，对自然科学类和人文社科类分别根据终评得分的高低产生北京林业大学研究生“学术之星”，包括自然科学类</w:t>
      </w:r>
      <w:r>
        <w:rPr>
          <w:rFonts w:hint="eastAsia" w:ascii="宋体" w:hAnsi="宋体"/>
          <w:color w:val="000000"/>
          <w:sz w:val="24"/>
          <w:szCs w:val="24"/>
          <w:lang w:val="en-US" w:eastAsia="zh-CN"/>
        </w:rPr>
        <w:t>8</w:t>
      </w:r>
      <w:r>
        <w:rPr>
          <w:rFonts w:hint="eastAsia" w:ascii="宋体" w:hAnsi="宋体"/>
          <w:color w:val="000000"/>
          <w:sz w:val="24"/>
          <w:szCs w:val="24"/>
        </w:rPr>
        <w:t>人、人文社科类</w:t>
      </w:r>
      <w:r>
        <w:rPr>
          <w:rFonts w:hint="eastAsia" w:ascii="宋体" w:hAnsi="宋体"/>
          <w:color w:val="000000"/>
          <w:sz w:val="24"/>
          <w:szCs w:val="24"/>
          <w:lang w:val="en-US" w:eastAsia="zh-CN"/>
        </w:rPr>
        <w:t>2</w:t>
      </w:r>
      <w:r>
        <w:rPr>
          <w:rFonts w:hint="eastAsia" w:ascii="宋体" w:hAnsi="宋体"/>
          <w:color w:val="000000"/>
          <w:sz w:val="24"/>
          <w:szCs w:val="24"/>
        </w:rPr>
        <w:t>人，其余候选人获得“学术之星”提名奖。</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rPr>
          <w:rFonts w:ascii="宋体" w:hAnsi="宋体"/>
          <w:b/>
          <w:color w:val="000000"/>
          <w:sz w:val="24"/>
          <w:szCs w:val="24"/>
        </w:rPr>
      </w:pPr>
      <w:r>
        <w:rPr>
          <w:rFonts w:hint="eastAsia" w:ascii="宋体" w:hAnsi="宋体"/>
          <w:b/>
          <w:color w:val="000000"/>
          <w:sz w:val="24"/>
          <w:szCs w:val="24"/>
        </w:rPr>
        <w:t>第六章  异议及处理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第二十二条  任何单位或者个人如对评选活动有异议，可向评选活动组织委员会提出。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第二十三条  提出异议的单位和个人须在规定的公示期内向评选活动组织委员会提出。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第二十四条  提出异议的单位或者个人应当表明自己的真实身份并提供书面材料。个人提出异议的，须在异议材料上签署真实姓名；单位提出异议的，须加盖本单位公章。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第二十五条  组织委员会在收到异议材料后，须在</w:t>
      </w:r>
      <w:r>
        <w:rPr>
          <w:rFonts w:ascii="宋体" w:hAnsi="宋体"/>
          <w:color w:val="000000"/>
          <w:sz w:val="24"/>
          <w:szCs w:val="24"/>
        </w:rPr>
        <w:t>3</w:t>
      </w:r>
      <w:r>
        <w:rPr>
          <w:rFonts w:hint="eastAsia" w:ascii="宋体" w:hAnsi="宋体"/>
          <w:color w:val="000000"/>
          <w:sz w:val="24"/>
          <w:szCs w:val="24"/>
        </w:rPr>
        <w:t>个工作日内对相关事宜进行审查，并给出明确答复。</w:t>
      </w:r>
    </w:p>
    <w:p>
      <w:pPr>
        <w:keepNext w:val="0"/>
        <w:keepLines w:val="0"/>
        <w:pageBreakBefore w:val="0"/>
        <w:widowControl w:val="0"/>
        <w:kinsoku/>
        <w:wordWrap/>
        <w:overflowPunct/>
        <w:topLinePunct w:val="0"/>
        <w:autoSpaceDE/>
        <w:autoSpaceDN/>
        <w:bidi w:val="0"/>
        <w:adjustRightInd/>
        <w:snapToGrid/>
        <w:spacing w:line="520" w:lineRule="exact"/>
        <w:ind w:firstLine="4096" w:firstLineChars="1700"/>
        <w:rPr>
          <w:rFonts w:ascii="宋体" w:hAnsi="宋体"/>
          <w:b/>
          <w:color w:val="000000"/>
          <w:sz w:val="24"/>
          <w:szCs w:val="24"/>
        </w:rPr>
      </w:pPr>
      <w:r>
        <w:rPr>
          <w:rFonts w:hint="eastAsia" w:ascii="宋体" w:hAnsi="宋体"/>
          <w:b/>
          <w:color w:val="000000"/>
          <w:sz w:val="24"/>
          <w:szCs w:val="24"/>
        </w:rPr>
        <w:t>第七章  附则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第二十六条  本办法由北京林业大学研究生“学术之星”评选活动组织委员会负责修订、解释。</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第二十七条  本办法自公布之日起施行。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第二十八条  风景园林学专业研究生归入</w:t>
      </w:r>
      <w:r>
        <w:rPr>
          <w:rFonts w:hint="eastAsia" w:ascii="宋体" w:hAnsi="宋体"/>
          <w:color w:val="000000"/>
          <w:sz w:val="24"/>
          <w:szCs w:val="24"/>
          <w:lang w:eastAsia="zh-CN"/>
        </w:rPr>
        <w:t>自然科学</w:t>
      </w:r>
      <w:r>
        <w:rPr>
          <w:rFonts w:hint="eastAsia" w:ascii="宋体" w:hAnsi="宋体"/>
          <w:color w:val="000000"/>
          <w:sz w:val="24"/>
          <w:szCs w:val="24"/>
        </w:rPr>
        <w:t>类进行评选。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rPr>
          <w:rFonts w:ascii="宋体" w:hAnsi="宋体"/>
          <w:color w:val="000000"/>
          <w:sz w:val="24"/>
          <w:szCs w:val="24"/>
        </w:rPr>
      </w:pPr>
      <w:r>
        <w:rPr>
          <w:rFonts w:hint="eastAsia" w:ascii="宋体" w:hAnsi="宋体"/>
          <w:color w:val="000000"/>
          <w:sz w:val="24"/>
          <w:szCs w:val="24"/>
        </w:rPr>
        <w:t>北京林业大学研究生会</w:t>
      </w:r>
    </w:p>
    <w:p>
      <w:pPr>
        <w:keepNext w:val="0"/>
        <w:keepLines w:val="0"/>
        <w:pageBreakBefore w:val="0"/>
        <w:widowControl w:val="0"/>
        <w:kinsoku/>
        <w:wordWrap/>
        <w:overflowPunct/>
        <w:topLinePunct w:val="0"/>
        <w:autoSpaceDE/>
        <w:autoSpaceDN/>
        <w:bidi w:val="0"/>
        <w:adjustRightInd/>
        <w:snapToGrid/>
        <w:spacing w:line="520" w:lineRule="exact"/>
        <w:jc w:val="left"/>
        <w:rPr>
          <w:rFonts w:ascii="宋体" w:hAnsi="宋体"/>
          <w:color w:val="000000"/>
          <w:sz w:val="24"/>
          <w:szCs w:val="24"/>
        </w:rPr>
      </w:pPr>
      <w:r>
        <w:rPr>
          <w:rFonts w:ascii="宋体" w:hAnsi="宋体"/>
          <w:sz w:val="24"/>
          <w:szCs w:val="24"/>
        </w:rPr>
        <w:br w:type="page"/>
      </w:r>
      <w:r>
        <w:rPr>
          <w:rFonts w:ascii="宋体" w:hAnsi="宋体"/>
          <w:color w:val="000000"/>
          <w:sz w:val="24"/>
          <w:szCs w:val="24"/>
        </w:rPr>
        <w:t>附件</w:t>
      </w:r>
      <w:r>
        <w:rPr>
          <w:rFonts w:hint="eastAsia" w:ascii="宋体" w:hAnsi="宋体"/>
          <w:color w:val="000000"/>
          <w:sz w:val="24"/>
          <w:szCs w:val="24"/>
        </w:rPr>
        <w:t xml:space="preserve">一：  </w:t>
      </w:r>
    </w:p>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b/>
          <w:color w:val="000000"/>
          <w:sz w:val="24"/>
          <w:szCs w:val="24"/>
        </w:rPr>
      </w:pPr>
      <w:r>
        <w:rPr>
          <w:rFonts w:hint="eastAsia" w:ascii="宋体" w:hAnsi="宋体"/>
          <w:b/>
          <w:color w:val="000000"/>
          <w:sz w:val="24"/>
          <w:szCs w:val="24"/>
        </w:rPr>
        <w:t>“学术之星”自然科学类初评标准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为进一步做好北京林业大学研究生“学术之星”评选工作，将</w:t>
      </w:r>
      <w:r>
        <w:rPr>
          <w:rFonts w:hint="eastAsia" w:ascii="宋体" w:hAnsi="宋体"/>
          <w:color w:val="000000"/>
          <w:sz w:val="24"/>
          <w:szCs w:val="24"/>
        </w:rPr>
        <w:t>自然科学类初评标准</w:t>
      </w:r>
      <w:r>
        <w:rPr>
          <w:rFonts w:ascii="宋体" w:hAnsi="宋体"/>
          <w:color w:val="000000"/>
          <w:sz w:val="24"/>
          <w:szCs w:val="24"/>
        </w:rPr>
        <w:t>进行详细规定，具体如下：</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rPr>
          <w:rFonts w:ascii="宋体" w:hAnsi="宋体"/>
          <w:b/>
          <w:color w:val="000000"/>
          <w:sz w:val="24"/>
          <w:szCs w:val="24"/>
        </w:rPr>
      </w:pPr>
      <w:r>
        <w:rPr>
          <w:rFonts w:ascii="宋体" w:hAnsi="宋体"/>
          <w:b/>
          <w:color w:val="000000"/>
          <w:sz w:val="24"/>
          <w:szCs w:val="24"/>
        </w:rPr>
        <w:t>一、科研成果(科技作品及论文等)获奖情况（占总分值的</w:t>
      </w:r>
      <w:r>
        <w:rPr>
          <w:rFonts w:hint="eastAsia" w:ascii="宋体" w:hAnsi="宋体"/>
          <w:b/>
          <w:color w:val="000000"/>
          <w:sz w:val="24"/>
          <w:szCs w:val="24"/>
        </w:rPr>
        <w:t>20</w:t>
      </w:r>
      <w:r>
        <w:rPr>
          <w:rFonts w:ascii="宋体" w:hAnsi="宋体"/>
          <w:b/>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1.国家级科研成果指由国家评定公布的获奖科研成果；</w:t>
      </w:r>
    </w:p>
    <w:p>
      <w:pPr>
        <w:keepNext w:val="0"/>
        <w:keepLines w:val="0"/>
        <w:pageBreakBefore w:val="0"/>
        <w:widowControl w:val="0"/>
        <w:kinsoku/>
        <w:wordWrap/>
        <w:overflowPunct/>
        <w:topLinePunct w:val="0"/>
        <w:autoSpaceDE/>
        <w:autoSpaceDN/>
        <w:bidi w:val="0"/>
        <w:adjustRightInd/>
        <w:snapToGrid/>
        <w:spacing w:line="520" w:lineRule="exact"/>
        <w:ind w:left="420" w:leftChars="200"/>
        <w:jc w:val="left"/>
        <w:rPr>
          <w:rFonts w:ascii="宋体" w:hAnsi="宋体"/>
          <w:sz w:val="24"/>
          <w:szCs w:val="24"/>
        </w:rPr>
      </w:pPr>
      <w:r>
        <w:rPr>
          <w:rFonts w:ascii="宋体" w:hAnsi="宋体"/>
          <w:color w:val="000000"/>
          <w:sz w:val="24"/>
          <w:szCs w:val="24"/>
        </w:rPr>
        <w:t>2.省（部）级科研成果指由省（部）评定公布的获奖科研成果</w:t>
      </w:r>
      <w:r>
        <w:rPr>
          <w:rFonts w:hint="eastAsia" w:ascii="宋体" w:hAnsi="宋体"/>
          <w:sz w:val="24"/>
          <w:szCs w:val="24"/>
        </w:rPr>
        <w:t>（注：直辖市按省部级评定）</w:t>
      </w:r>
      <w:r>
        <w:rPr>
          <w:rFonts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3.校（市）级科研成果指由学校（市）评定公布的获奖科研成果；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4.所有获奖证书的认定均须以发奖单位所盖公章为准；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5.同一项目获多种奖励的，只以最高奖计算一次；</w:t>
      </w:r>
    </w:p>
    <w:p>
      <w:pPr>
        <w:keepNext w:val="0"/>
        <w:keepLines w:val="0"/>
        <w:pageBreakBefore w:val="0"/>
        <w:widowControl w:val="0"/>
        <w:kinsoku/>
        <w:wordWrap/>
        <w:overflowPunct/>
        <w:topLinePunct w:val="0"/>
        <w:autoSpaceDE/>
        <w:autoSpaceDN/>
        <w:bidi w:val="0"/>
        <w:adjustRightInd/>
        <w:snapToGrid/>
        <w:spacing w:line="520" w:lineRule="exact"/>
        <w:ind w:left="540" w:leftChars="200" w:hanging="120" w:hangingChars="50"/>
        <w:jc w:val="left"/>
        <w:rPr>
          <w:rFonts w:ascii="宋体" w:hAnsi="宋体"/>
          <w:color w:val="000000"/>
          <w:sz w:val="24"/>
          <w:szCs w:val="24"/>
        </w:rPr>
      </w:pPr>
      <w:r>
        <w:rPr>
          <w:rFonts w:hint="eastAsia" w:ascii="宋体" w:hAnsi="宋体"/>
          <w:color w:val="000000"/>
          <w:sz w:val="24"/>
          <w:szCs w:val="24"/>
        </w:rPr>
        <w:t>6</w:t>
      </w:r>
      <w:r>
        <w:rPr>
          <w:rFonts w:ascii="宋体" w:hAnsi="宋体"/>
          <w:color w:val="000000"/>
          <w:sz w:val="24"/>
          <w:szCs w:val="24"/>
        </w:rPr>
        <w:t>.若获奖成果是合作项目，研究生为第二作者，其导师为第一作者，视研究生为第一作者；</w:t>
      </w:r>
      <w:r>
        <w:rPr>
          <w:rFonts w:hint="eastAsia" w:ascii="宋体" w:hAnsi="宋体"/>
          <w:sz w:val="24"/>
          <w:szCs w:val="24"/>
        </w:rPr>
        <w:t>其余排名相应上升；</w:t>
      </w:r>
      <w:r>
        <w:rPr>
          <w:rFonts w:ascii="宋体" w:hAnsi="宋体"/>
          <w:color w:val="000000"/>
          <w:sz w:val="24"/>
          <w:szCs w:val="24"/>
        </w:rPr>
        <w:t>如与其他教师合作，该研究生获得其相应排名得分；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7</w:t>
      </w:r>
      <w:r>
        <w:rPr>
          <w:rFonts w:ascii="宋体" w:hAnsi="宋体"/>
          <w:color w:val="000000"/>
          <w:sz w:val="24"/>
          <w:szCs w:val="24"/>
        </w:rPr>
        <w:t>.获奖成果第一完成人及本人单位必须是北京林业大学；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8</w:t>
      </w:r>
      <w:r>
        <w:rPr>
          <w:rFonts w:ascii="宋体" w:hAnsi="宋体"/>
          <w:color w:val="000000"/>
          <w:sz w:val="24"/>
          <w:szCs w:val="24"/>
        </w:rPr>
        <w:t>.选手需提供相应证书或者相关证明。</w:t>
      </w:r>
    </w:p>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 w:val="24"/>
          <w:szCs w:val="24"/>
        </w:rPr>
      </w:pPr>
      <w:r>
        <w:rPr>
          <w:rFonts w:ascii="宋体" w:hAnsi="宋体"/>
          <w:color w:val="000000"/>
          <w:sz w:val="24"/>
          <w:szCs w:val="24"/>
        </w:rPr>
        <w:t>表1</w:t>
      </w:r>
      <w:r>
        <w:rPr>
          <w:rFonts w:hint="eastAsia" w:ascii="宋体" w:hAnsi="宋体"/>
          <w:color w:val="000000"/>
          <w:sz w:val="24"/>
          <w:szCs w:val="24"/>
        </w:rPr>
        <w:t xml:space="preserve"> 自然科学类</w:t>
      </w:r>
      <w:r>
        <w:rPr>
          <w:rFonts w:ascii="宋体" w:hAnsi="宋体"/>
          <w:color w:val="000000"/>
          <w:sz w:val="24"/>
          <w:szCs w:val="24"/>
        </w:rPr>
        <w:t>研究生科研成果计分表</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615"/>
        <w:gridCol w:w="585"/>
        <w:gridCol w:w="585"/>
        <w:gridCol w:w="590"/>
        <w:gridCol w:w="587"/>
        <w:gridCol w:w="587"/>
        <w:gridCol w:w="587"/>
        <w:gridCol w:w="590"/>
        <w:gridCol w:w="588"/>
        <w:gridCol w:w="588"/>
        <w:gridCol w:w="588"/>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44" w:type="dxa"/>
            <w:vMerge w:val="restart"/>
            <w:vAlign w:val="center"/>
          </w:tcPr>
          <w:p>
            <w:pPr>
              <w:keepNext w:val="0"/>
              <w:keepLines w:val="0"/>
              <w:pageBreakBefore w:val="0"/>
              <w:widowControl w:val="0"/>
              <w:kinsoku/>
              <w:wordWrap/>
              <w:overflowPunct/>
              <w:topLinePunct w:val="0"/>
              <w:autoSpaceDE/>
              <w:autoSpaceDN/>
              <w:bidi w:val="0"/>
              <w:adjustRightInd/>
              <w:snapToGrid/>
              <w:spacing w:line="520" w:lineRule="exact"/>
              <w:ind w:firstLine="630" w:firstLineChars="300"/>
              <w:jc w:val="center"/>
              <w:rPr>
                <w:szCs w:val="21"/>
              </w:rPr>
            </w:pPr>
            <w:r>
              <w:rPr>
                <w:szCs w:val="21"/>
              </w:rPr>
              <mc:AlternateContent>
                <mc:Choice Requires="wps">
                  <w:drawing>
                    <wp:anchor distT="0" distB="0" distL="114300" distR="114300" simplePos="0" relativeHeight="251664384" behindDoc="0" locked="0" layoutInCell="1" allowOverlap="1">
                      <wp:simplePos x="0" y="0"/>
                      <wp:positionH relativeFrom="column">
                        <wp:posOffset>-57785</wp:posOffset>
                      </wp:positionH>
                      <wp:positionV relativeFrom="paragraph">
                        <wp:posOffset>28575</wp:posOffset>
                      </wp:positionV>
                      <wp:extent cx="910590" cy="864235"/>
                      <wp:effectExtent l="0" t="0" r="3810" b="12065"/>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910590" cy="8642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55pt;margin-top:2.25pt;height:68.05pt;width:71.7pt;z-index:251664384;mso-width-relative:page;mso-height-relative:page;" filled="f" stroked="t" coordsize="21600,21600" o:gfxdata="UEsDBAoAAAAAAIdO4kAAAAAAAAAAAAAAAAAEAAAAZHJzL1BLAwQUAAAACACHTuJAdBvUuNcAAAAI&#10;AQAADwAAAGRycy9kb3ducmV2LnhtbE2PzU7DMBCE75X6DtYicalaO02oIMTpoZAbFwqI6zZekoh4&#10;ncbuDzw97oneZjWjmW+L9dn24kij7xxrSBYKBHHtTMeNhve3an4Pwgdkg71j0vBDHtbldFJgbtyJ&#10;X+m4DY2IJexz1NCGMORS+roli37hBuLofbnRYojn2Egz4imW214ulVpJix3HhRYH2rRUf28PVoOv&#10;Pmhf/c7qmfpMG0fL/dPLM2p9e5OoRxCBzuE/DBf8iA5lZNq5Axsveg3zhyQmNWR3IC52mqUgdlFk&#10;agWyLOT1A+UfUEsDBBQAAAAIAIdO4kC2r8jE7wEAAL4DAAAOAAAAZHJzL2Uyb0RvYy54bWytU72O&#10;EzEQ7pF4B8s92SSQ090qmysSHc0Bke54gInXm7WwPZbtZJOX4AWQ6KCipOdtOB6DsTcJ99NcwRaW&#10;xzPzzXzfzE4vd0azrfRBoa34aDDkTFqBtbLrin+8vXp1zlmIYGvQaGXF9zLwy9nLF9POlXKMLepa&#10;ekYgNpSdq3gboyuLIohWGggDdNKSs0FvIJLp10XtoSN0o4vxcHhWdOhr51HIEOh10Tv5AdE/BxCb&#10;Rgm5QLEx0sYe1UsNkSiFVrnAZ7nbppEifmiaICPTFSemMZ9UhO6rdBazKZRrD65V4tACPKeFR5wM&#10;KEtFT1ALiMA2Xj2BMkp4DNjEgUBT9ESyIsRiNHykzU0LTmYuJHVwJ9HD/4MV77dLz1RNmzDhzIKh&#10;id99+fn787c/v77SeffjOyMPydS5UFL03C59Iip29sZdo/gUmMV5C3Ytc7u3e0cQo5RRPEhJRnBU&#10;bNW9w5piYBMxa7ZrvEmQpAbb5dHsT6ORu8gEPV6MhpMLGpog1/nZm/Hr3FMB5THZ+RDfSjQsXSqu&#10;lU3KQQnb6xBTM1AeQ9KzxSuldZ6+tqyjApPxJCcE1KpOzhQW/Ho1155tIe1P/jIz8twP87ixdV9E&#10;25Qn8+odKh+Z9xqusN4v/VEeGmvu7bCCaW/u21nEf7/d7C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0G9S41wAAAAgBAAAPAAAAAAAAAAEAIAAAACIAAABkcnMvZG93bnJldi54bWxQSwECFAAUAAAA&#10;CACHTuJAtq/IxO8BAAC+AwAADgAAAAAAAAABACAAAAAmAQAAZHJzL2Uyb0RvYy54bWxQSwUGAAAA&#10;AAYABgBZAQAAhwUAAAAA&#10;">
                      <v:fill on="f" focussize="0,0"/>
                      <v:stroke color="#000000" joinstyle="round"/>
                      <v:imagedata o:title=""/>
                      <o:lock v:ext="edit" aspectratio="f"/>
                    </v:line>
                  </w:pict>
                </mc:Fallback>
              </mc:AlternateContent>
            </w:r>
            <w:r>
              <w:rPr>
                <w:rFonts w:hAnsi="宋体"/>
                <w:szCs w:val="21"/>
              </w:rPr>
              <w:t>级别</w:t>
            </w:r>
          </w:p>
          <w:p>
            <w:pPr>
              <w:keepNext w:val="0"/>
              <w:keepLines w:val="0"/>
              <w:pageBreakBefore w:val="0"/>
              <w:widowControl w:val="0"/>
              <w:kinsoku/>
              <w:wordWrap/>
              <w:overflowPunct/>
              <w:topLinePunct w:val="0"/>
              <w:autoSpaceDE/>
              <w:autoSpaceDN/>
              <w:bidi w:val="0"/>
              <w:adjustRightInd/>
              <w:snapToGrid/>
              <w:spacing w:line="520" w:lineRule="exact"/>
              <w:jc w:val="center"/>
              <w:rPr>
                <w:szCs w:val="21"/>
              </w:rPr>
            </w:pPr>
          </w:p>
          <w:p>
            <w:pPr>
              <w:keepNext w:val="0"/>
              <w:keepLines w:val="0"/>
              <w:pageBreakBefore w:val="0"/>
              <w:widowControl w:val="0"/>
              <w:kinsoku/>
              <w:wordWrap/>
              <w:overflowPunct/>
              <w:topLinePunct w:val="0"/>
              <w:autoSpaceDE/>
              <w:autoSpaceDN/>
              <w:bidi w:val="0"/>
              <w:adjustRightInd/>
              <w:snapToGrid/>
              <w:spacing w:line="520" w:lineRule="exact"/>
              <w:ind w:leftChars="-59" w:hanging="123" w:hangingChars="59"/>
              <w:jc w:val="center"/>
              <w:rPr>
                <w:szCs w:val="21"/>
              </w:rPr>
            </w:pPr>
            <w:r>
              <w:rPr>
                <w:rFonts w:hAnsi="宋体"/>
                <w:szCs w:val="21"/>
              </w:rPr>
              <w:t>作者顺序</w:t>
            </w:r>
          </w:p>
        </w:tc>
        <w:tc>
          <w:tcPr>
            <w:tcW w:w="2375"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szCs w:val="21"/>
              </w:rPr>
            </w:pPr>
            <w:r>
              <w:rPr>
                <w:rFonts w:hAnsi="宋体"/>
                <w:szCs w:val="21"/>
              </w:rPr>
              <w:t>国家级</w:t>
            </w:r>
          </w:p>
        </w:tc>
        <w:tc>
          <w:tcPr>
            <w:tcW w:w="2351"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szCs w:val="21"/>
              </w:rPr>
            </w:pPr>
            <w:r>
              <w:rPr>
                <w:rFonts w:hAnsi="宋体"/>
                <w:szCs w:val="21"/>
              </w:rPr>
              <w:t>省部级</w:t>
            </w:r>
          </w:p>
        </w:tc>
        <w:tc>
          <w:tcPr>
            <w:tcW w:w="2352"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szCs w:val="21"/>
              </w:rPr>
            </w:pPr>
            <w:r>
              <w:rPr>
                <w:rFonts w:hAnsi="宋体"/>
                <w:szCs w:val="21"/>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444"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firstLine="480"/>
              <w:rPr>
                <w:szCs w:val="21"/>
              </w:rPr>
            </w:pP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rFonts w:hAnsi="宋体"/>
                <w:szCs w:val="21"/>
              </w:rPr>
              <w:t>特等</w:t>
            </w:r>
          </w:p>
        </w:tc>
        <w:tc>
          <w:tcPr>
            <w:tcW w:w="58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rFonts w:hAnsi="宋体"/>
                <w:szCs w:val="21"/>
              </w:rPr>
              <w:t>一等</w:t>
            </w:r>
          </w:p>
        </w:tc>
        <w:tc>
          <w:tcPr>
            <w:tcW w:w="58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rFonts w:hAnsi="宋体"/>
                <w:szCs w:val="21"/>
              </w:rPr>
              <w:t>二等</w:t>
            </w:r>
          </w:p>
        </w:tc>
        <w:tc>
          <w:tcPr>
            <w:tcW w:w="590"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rFonts w:hAnsi="宋体"/>
                <w:szCs w:val="21"/>
              </w:rPr>
              <w:t>三等</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rFonts w:hAnsi="宋体"/>
                <w:szCs w:val="21"/>
              </w:rPr>
              <w:t>特等</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rFonts w:hAnsi="宋体"/>
                <w:szCs w:val="21"/>
              </w:rPr>
              <w:t>一等</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rFonts w:hAnsi="宋体"/>
                <w:szCs w:val="21"/>
              </w:rPr>
              <w:t>二等</w:t>
            </w:r>
          </w:p>
        </w:tc>
        <w:tc>
          <w:tcPr>
            <w:tcW w:w="590"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rFonts w:hAnsi="宋体"/>
                <w:szCs w:val="21"/>
              </w:rPr>
              <w:t>三等</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rFonts w:hAnsi="宋体"/>
                <w:szCs w:val="21"/>
              </w:rPr>
              <w:t>特等</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rFonts w:hAnsi="宋体"/>
                <w:szCs w:val="21"/>
              </w:rPr>
              <w:t>一等</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rFonts w:hAnsi="宋体"/>
                <w:szCs w:val="21"/>
              </w:rPr>
              <w:t>二等</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rFonts w:hAnsi="宋体"/>
                <w:szCs w:val="21"/>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44"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1</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100</w:t>
            </w:r>
          </w:p>
        </w:tc>
        <w:tc>
          <w:tcPr>
            <w:tcW w:w="58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80</w:t>
            </w:r>
          </w:p>
        </w:tc>
        <w:tc>
          <w:tcPr>
            <w:tcW w:w="58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60</w:t>
            </w:r>
          </w:p>
        </w:tc>
        <w:tc>
          <w:tcPr>
            <w:tcW w:w="590"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40</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50</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40</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30</w:t>
            </w:r>
          </w:p>
        </w:tc>
        <w:tc>
          <w:tcPr>
            <w:tcW w:w="590"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20</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15</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10</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8</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44"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2</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80</w:t>
            </w:r>
          </w:p>
        </w:tc>
        <w:tc>
          <w:tcPr>
            <w:tcW w:w="58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60</w:t>
            </w:r>
          </w:p>
        </w:tc>
        <w:tc>
          <w:tcPr>
            <w:tcW w:w="58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40</w:t>
            </w:r>
          </w:p>
        </w:tc>
        <w:tc>
          <w:tcPr>
            <w:tcW w:w="590"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20</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40</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30</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20</w:t>
            </w:r>
          </w:p>
        </w:tc>
        <w:tc>
          <w:tcPr>
            <w:tcW w:w="590"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15</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10</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8</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6</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44"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3</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60</w:t>
            </w:r>
          </w:p>
        </w:tc>
        <w:tc>
          <w:tcPr>
            <w:tcW w:w="58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40</w:t>
            </w:r>
          </w:p>
        </w:tc>
        <w:tc>
          <w:tcPr>
            <w:tcW w:w="58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20</w:t>
            </w:r>
          </w:p>
        </w:tc>
        <w:tc>
          <w:tcPr>
            <w:tcW w:w="590"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15</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30</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20</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15</w:t>
            </w:r>
          </w:p>
        </w:tc>
        <w:tc>
          <w:tcPr>
            <w:tcW w:w="590"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10</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8</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6</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4</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44"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4</w:t>
            </w:r>
            <w:r>
              <w:rPr>
                <w:rFonts w:hAnsi="宋体"/>
                <w:szCs w:val="21"/>
              </w:rPr>
              <w:t>及以后</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40</w:t>
            </w:r>
          </w:p>
        </w:tc>
        <w:tc>
          <w:tcPr>
            <w:tcW w:w="58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20</w:t>
            </w:r>
          </w:p>
        </w:tc>
        <w:tc>
          <w:tcPr>
            <w:tcW w:w="585"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15</w:t>
            </w:r>
          </w:p>
        </w:tc>
        <w:tc>
          <w:tcPr>
            <w:tcW w:w="590"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10</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20</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15</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10</w:t>
            </w:r>
          </w:p>
        </w:tc>
        <w:tc>
          <w:tcPr>
            <w:tcW w:w="590"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8</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6</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4</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3</w:t>
            </w:r>
          </w:p>
        </w:tc>
        <w:tc>
          <w:tcPr>
            <w:tcW w:w="588" w:type="dxa"/>
            <w:vAlign w:val="center"/>
          </w:tcPr>
          <w:p>
            <w:pPr>
              <w:keepNext w:val="0"/>
              <w:keepLines w:val="0"/>
              <w:pageBreakBefore w:val="0"/>
              <w:widowControl w:val="0"/>
              <w:kinsoku/>
              <w:wordWrap/>
              <w:overflowPunct/>
              <w:topLinePunct w:val="0"/>
              <w:autoSpaceDE/>
              <w:autoSpaceDN/>
              <w:bidi w:val="0"/>
              <w:adjustRightInd/>
              <w:snapToGrid/>
              <w:spacing w:line="520" w:lineRule="exact"/>
              <w:rPr>
                <w:szCs w:val="21"/>
              </w:rPr>
            </w:pPr>
            <w:r>
              <w:rPr>
                <w:szCs w:val="21"/>
              </w:rPr>
              <w:t>2</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rPr>
          <w:rFonts w:ascii="宋体" w:hAnsi="宋体"/>
          <w:b/>
          <w:color w:val="000000"/>
          <w:sz w:val="24"/>
          <w:szCs w:val="24"/>
        </w:rPr>
      </w:pPr>
      <w:r>
        <w:rPr>
          <w:rFonts w:ascii="宋体" w:hAnsi="宋体"/>
          <w:b/>
          <w:color w:val="000000"/>
          <w:sz w:val="24"/>
          <w:szCs w:val="24"/>
        </w:rPr>
        <w:t>二、获国家专利（占总分值的20%）</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1.专利以收到正式的专利</w:t>
      </w:r>
      <w:r>
        <w:rPr>
          <w:rFonts w:hint="eastAsia" w:ascii="宋体" w:hAnsi="宋体"/>
          <w:color w:val="000000"/>
          <w:sz w:val="24"/>
          <w:szCs w:val="24"/>
        </w:rPr>
        <w:t>证书或授予专利权通知书方可计分，其他阶段不予加分</w:t>
      </w:r>
      <w:r>
        <w:rPr>
          <w:rFonts w:ascii="宋体" w:hAnsi="宋体"/>
          <w:color w:val="000000"/>
          <w:sz w:val="24"/>
          <w:szCs w:val="24"/>
        </w:rPr>
        <w:t>，若该专利获得其他科研比赛奖励的，以最高分计，不累加；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2.发明专利是指对产品、方法或其改进所提出的新的技术方案；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3.实用新型专利是指对产品的形状、构造或者其结合所提出的适于实用的新的技术方案。（</w:t>
      </w:r>
      <w:r>
        <w:rPr>
          <w:rFonts w:hint="eastAsia" w:ascii="宋体" w:hAnsi="宋体"/>
          <w:color w:val="000000"/>
          <w:sz w:val="24"/>
          <w:szCs w:val="24"/>
        </w:rPr>
        <w:t>注：</w:t>
      </w:r>
      <w:r>
        <w:rPr>
          <w:rFonts w:ascii="宋体" w:hAnsi="宋体"/>
          <w:color w:val="000000"/>
          <w:sz w:val="24"/>
          <w:szCs w:val="24"/>
        </w:rPr>
        <w:t>集成电路布图设计专有权</w:t>
      </w:r>
      <w:r>
        <w:rPr>
          <w:rFonts w:hint="eastAsia" w:ascii="宋体" w:hAnsi="宋体"/>
          <w:color w:val="000000"/>
          <w:sz w:val="24"/>
          <w:szCs w:val="24"/>
        </w:rPr>
        <w:t>视为</w:t>
      </w:r>
      <w:r>
        <w:rPr>
          <w:rFonts w:ascii="宋体" w:hAnsi="宋体"/>
          <w:color w:val="000000"/>
          <w:sz w:val="24"/>
          <w:szCs w:val="24"/>
        </w:rPr>
        <w:t>实用新型专利权）；</w:t>
      </w:r>
      <w:r>
        <w:rPr>
          <w:rFonts w:hint="eastAsia" w:ascii="宋体" w:hAnsi="宋体"/>
          <w:color w:val="000000"/>
          <w:sz w:val="24"/>
          <w:szCs w:val="24"/>
        </w:rPr>
        <w:t>（此处取消计算机软件著作权）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4.外观设计专利是指对产品的形状、图案或其结合以及色彩与形状、图案的结合所做出的富有美感并适于工业应用的新设计；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5.获奖成果第一完成人及本人单位必须是北京林业大学</w:t>
      </w:r>
      <w:r>
        <w:rPr>
          <w:rFonts w:hint="eastAsia" w:ascii="宋体" w:hAnsi="宋体"/>
          <w:color w:val="000000"/>
          <w:sz w:val="24"/>
          <w:szCs w:val="24"/>
        </w:rPr>
        <w:t>，若第一完成人为研究生导师，第二完成人为研究生本人，则研究生可按第一完成人加分，其余排名相应上升。</w:t>
      </w:r>
    </w:p>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 w:val="24"/>
          <w:szCs w:val="24"/>
        </w:rPr>
      </w:pPr>
      <w:r>
        <w:rPr>
          <w:rFonts w:ascii="宋体" w:hAnsi="宋体"/>
          <w:color w:val="000000"/>
          <w:sz w:val="24"/>
          <w:szCs w:val="24"/>
        </w:rPr>
        <w:t>表2</w:t>
      </w:r>
      <w:r>
        <w:rPr>
          <w:rFonts w:hint="eastAsia" w:ascii="宋体" w:hAnsi="宋体"/>
          <w:color w:val="000000"/>
          <w:sz w:val="24"/>
          <w:szCs w:val="24"/>
        </w:rPr>
        <w:t xml:space="preserve"> 自然科学类</w:t>
      </w:r>
      <w:r>
        <w:rPr>
          <w:rFonts w:ascii="宋体" w:hAnsi="宋体"/>
          <w:color w:val="000000"/>
          <w:sz w:val="24"/>
          <w:szCs w:val="24"/>
        </w:rPr>
        <w:t>研究生获得专利计分表</w:t>
      </w:r>
    </w:p>
    <w:tbl>
      <w:tblPr>
        <w:tblStyle w:val="4"/>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80"/>
        <w:gridCol w:w="1386"/>
        <w:gridCol w:w="1386"/>
        <w:gridCol w:w="1386"/>
        <w:gridCol w:w="13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2980"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1470" w:firstLineChars="700"/>
              <w:jc w:val="left"/>
              <w:rPr>
                <w:rFonts w:ascii="宋体" w:hAnsi="宋体"/>
                <w:color w:val="000000"/>
                <w:szCs w:val="21"/>
              </w:rPr>
            </w:pPr>
            <w:r>
              <w:rPr>
                <w:rFonts w:ascii="宋体" w:hAnsi="宋体"/>
                <w:color w:val="000000"/>
                <w:szCs w:val="21"/>
              </w:rPr>
              <w:t>排名顺序</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w:t>专利类别</w:t>
            </w:r>
          </w:p>
        </w:tc>
        <w:tc>
          <w:tcPr>
            <w:tcW w:w="554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得分值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2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2</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3</w:t>
            </w:r>
          </w:p>
        </w:tc>
        <w:tc>
          <w:tcPr>
            <w:tcW w:w="13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2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w:t>发明专利</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szCs w:val="21"/>
              </w:rPr>
            </w:pPr>
            <w:r>
              <w:rPr>
                <w:rFonts w:hint="eastAsia"/>
                <w:szCs w:val="21"/>
              </w:rPr>
              <w:t>50</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szCs w:val="21"/>
              </w:rPr>
            </w:pPr>
            <w:r>
              <w:rPr>
                <w:rFonts w:hint="eastAsia"/>
                <w:szCs w:val="21"/>
              </w:rPr>
              <w:t>35</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szCs w:val="21"/>
              </w:rPr>
            </w:pPr>
            <w:r>
              <w:rPr>
                <w:rFonts w:hint="eastAsia"/>
                <w:szCs w:val="21"/>
              </w:rPr>
              <w:t>20</w:t>
            </w:r>
          </w:p>
        </w:tc>
        <w:tc>
          <w:tcPr>
            <w:tcW w:w="13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2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w:t>实用新型专利</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szCs w:val="21"/>
              </w:rPr>
            </w:pPr>
            <w:r>
              <w:rPr>
                <w:rFonts w:hint="eastAsia"/>
                <w:szCs w:val="21"/>
              </w:rPr>
              <w:t>30</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szCs w:val="21"/>
              </w:rPr>
            </w:pPr>
            <w:r>
              <w:rPr>
                <w:rFonts w:hint="eastAsia"/>
                <w:szCs w:val="21"/>
              </w:rPr>
              <w:t>25</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szCs w:val="21"/>
              </w:rPr>
            </w:pPr>
            <w:r>
              <w:rPr>
                <w:rFonts w:hint="eastAsia"/>
                <w:szCs w:val="21"/>
              </w:rPr>
              <w:t>15</w:t>
            </w:r>
          </w:p>
        </w:tc>
        <w:tc>
          <w:tcPr>
            <w:tcW w:w="13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szCs w:val="21"/>
              </w:rPr>
            </w:pPr>
            <w:r>
              <w:rPr>
                <w:rFonts w:hint="eastAsia"/>
                <w:szCs w:val="21"/>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2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w:t>外观设计专利</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szCs w:val="21"/>
              </w:rPr>
            </w:pPr>
            <w:r>
              <w:rPr>
                <w:rFonts w:hint="eastAsia"/>
                <w:szCs w:val="21"/>
              </w:rPr>
              <w:t>20</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szCs w:val="21"/>
              </w:rPr>
            </w:pPr>
            <w:r>
              <w:rPr>
                <w:rFonts w:hint="eastAsia"/>
                <w:szCs w:val="21"/>
              </w:rPr>
              <w:t>15</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szCs w:val="21"/>
              </w:rPr>
            </w:pPr>
            <w:r>
              <w:rPr>
                <w:rFonts w:hint="eastAsia"/>
                <w:szCs w:val="21"/>
              </w:rPr>
              <w:t>8</w:t>
            </w:r>
          </w:p>
        </w:tc>
        <w:tc>
          <w:tcPr>
            <w:tcW w:w="13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szCs w:val="21"/>
              </w:rPr>
            </w:pPr>
            <w:r>
              <w:rPr>
                <w:szCs w:val="21"/>
              </w:rPr>
              <w:t>5</w:t>
            </w:r>
          </w:p>
        </w:tc>
      </w:tr>
    </w:tbl>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rPr>
          <w:rFonts w:ascii="宋体" w:hAnsi="宋体"/>
          <w:b/>
          <w:color w:val="000000"/>
          <w:sz w:val="24"/>
          <w:szCs w:val="24"/>
        </w:rPr>
      </w:pPr>
      <w:r>
        <w:rPr>
          <w:rFonts w:ascii="宋体" w:hAnsi="宋体"/>
          <w:b/>
          <w:color w:val="000000"/>
          <w:sz w:val="24"/>
          <w:szCs w:val="24"/>
        </w:rPr>
        <w:t>三、学术论文及著作情况（占总分值的30%）</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1.同一篇论文若被期刊或者会议论文集收录，以最高级别加分，不累加；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2.不同级别的不同论文按篇数累计加分；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3.中文核心期刊是指《中国科学引文数据库》（CSCD，http://sdb.csdl.ac.cn/forbid.jsp）、《中文社会科学引文索引数据库》（CSSCI，</w:t>
      </w:r>
      <w:r>
        <w:fldChar w:fldCharType="begin"/>
      </w:r>
      <w:r>
        <w:instrText xml:space="preserve"> HYPERLINK "http://cssci.nju.edu.cn/cssci_qk.htm" </w:instrText>
      </w:r>
      <w:r>
        <w:fldChar w:fldCharType="separate"/>
      </w:r>
      <w:r>
        <w:rPr>
          <w:rFonts w:ascii="宋体" w:hAnsi="宋体"/>
          <w:color w:val="000000"/>
          <w:sz w:val="24"/>
          <w:szCs w:val="24"/>
        </w:rPr>
        <w:t>http://cssci.nju.edu.cn/cssci_qk.htm</w:t>
      </w:r>
      <w:r>
        <w:rPr>
          <w:rFonts w:ascii="宋体" w:hAnsi="宋体"/>
          <w:color w:val="000000"/>
          <w:sz w:val="24"/>
          <w:szCs w:val="24"/>
        </w:rPr>
        <w:fldChar w:fldCharType="end"/>
      </w:r>
      <w:r>
        <w:rPr>
          <w:rFonts w:ascii="宋体" w:hAnsi="宋体"/>
          <w:color w:val="000000"/>
          <w:sz w:val="24"/>
          <w:szCs w:val="24"/>
        </w:rPr>
        <w:t>）及各学科研究生发表学术论文要求中指定的学科中文核心学术期刊</w:t>
      </w:r>
      <w:r>
        <w:rPr>
          <w:rFonts w:hint="eastAsia" w:ascii="宋体" w:hAnsi="宋体"/>
          <w:sz w:val="24"/>
          <w:szCs w:val="24"/>
        </w:rPr>
        <w:t>(由各学院提供指定学科目录)</w:t>
      </w:r>
      <w:r>
        <w:rPr>
          <w:rFonts w:ascii="宋体"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4.被SCI等四大索引收录的论文在表3计分的基础上，再按表4加分；同时被多次索引的只按最高分值计分，若没有证明材料且在网络中索引不到者，不加索引分；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 w:val="24"/>
          <w:szCs w:val="24"/>
        </w:rPr>
      </w:pPr>
      <w:r>
        <w:rPr>
          <w:rFonts w:ascii="宋体" w:hAnsi="宋体"/>
          <w:color w:val="000000"/>
          <w:sz w:val="24"/>
          <w:szCs w:val="24"/>
        </w:rPr>
        <w:t>表3</w:t>
      </w:r>
      <w:r>
        <w:rPr>
          <w:rFonts w:hint="eastAsia" w:ascii="宋体" w:hAnsi="宋体"/>
          <w:color w:val="000000"/>
          <w:sz w:val="24"/>
          <w:szCs w:val="24"/>
        </w:rPr>
        <w:t xml:space="preserve"> 自然科学类</w:t>
      </w:r>
      <w:r>
        <w:rPr>
          <w:rFonts w:ascii="宋体" w:hAnsi="宋体"/>
          <w:color w:val="000000"/>
          <w:sz w:val="24"/>
          <w:szCs w:val="24"/>
        </w:rPr>
        <w:t>研究生论文被索引计分表</w:t>
      </w:r>
    </w:p>
    <w:tbl>
      <w:tblPr>
        <w:tblStyle w:val="4"/>
        <w:tblpPr w:leftFromText="180" w:rightFromText="180" w:vertAnchor="text" w:horzAnchor="margin" w:tblpXSpec="center" w:tblpY="115"/>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1275"/>
        <w:gridCol w:w="1418"/>
        <w:gridCol w:w="1276"/>
        <w:gridCol w:w="1275"/>
        <w:gridCol w:w="1134"/>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689" w:type="dxa"/>
            <w:vMerge w:val="restart"/>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mc:AlternateContent>
                <mc:Choice Requires="wps">
                  <w:drawing>
                    <wp:anchor distT="0" distB="0" distL="114300" distR="114300" simplePos="0" relativeHeight="251679744" behindDoc="0" locked="0" layoutInCell="1" allowOverlap="1">
                      <wp:simplePos x="0" y="0"/>
                      <wp:positionH relativeFrom="column">
                        <wp:posOffset>-55245</wp:posOffset>
                      </wp:positionH>
                      <wp:positionV relativeFrom="paragraph">
                        <wp:posOffset>20955</wp:posOffset>
                      </wp:positionV>
                      <wp:extent cx="1695450" cy="1019175"/>
                      <wp:effectExtent l="0" t="0" r="0" b="9525"/>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1695450" cy="101917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35pt;margin-top:1.65pt;height:80.25pt;width:133.5pt;z-index:251679744;mso-width-relative:page;mso-height-relative:page;" filled="f" stroked="t" coordsize="21600,21600" o:gfxdata="UEsDBAoAAAAAAIdO4kAAAAAAAAAAAAAAAAAEAAAAZHJzL1BLAwQUAAAACACHTuJAia/g+dYAAAAI&#10;AQAADwAAAGRycy9kb3ducmV2LnhtbE2PPU/DQAyGdyT+w8lILFV7aSLaKOTSAcjGQgGxujk3icj5&#10;0tz1A349ZoLN1vvo9eNyc3GDOtEUes8GlosEFHHjbc+tgbfXep6DChHZ4uCZDHxRgE11fVViYf2Z&#10;X+i0ja2SEg4FGuhiHAutQ9ORw7DwI7Fkez85jLJOrbYTnqXcDTpNkpV22LNc6HCkh46az+3RGQj1&#10;Ox3q71kzSz6y1lN6eHx+QmNub5bJPahIl/gHw6++qEMlTjt/ZBvUYGCer4U0kGWgJE7vchl2wq2y&#10;HHRV6v8PVD9QSwMEFAAAAAgAh07iQOBf82bwAQAAwAMAAA4AAABkcnMvZTJvRG9jLnhtbK1TvY4T&#10;MRDukXgHyz3ZbHQ5yCqbKxIdzQGR7ngAx+vNWtgey+Nkk5fgBZDooKKk5204HoOx8wN3NFewheXx&#10;zHwz3zez06udNWyrAmpwNS8HQ86Uk9Bot675+7vrF684wyhcIww4VfO9Qn41e/5s2vtKjaAD06jA&#10;CMRh1fuadzH6qihQdsoKHIBXjpwtBCsimWFdNEH0hG5NMRoOL4seQuMDSIVIr4uDkx8Rw1MAoW21&#10;VAuQG6tcPKAGZUQkSthpj3yWu21bJeO7tkUVmak5MY35pCJ0X6WzmE1FtQ7Cd1oeWxBPaeERJyu0&#10;o6JnqIWIgm2C/gfKahkAoY0DCbY4EMmKEIty+Eib2054lbmQ1OjPouP/g5Vvt8vAdEObcMGZE5Ym&#10;fv/p+8+PX379+Ezn/bevjDwkU++xoui5W4ZEVO7crb8B+QGZg3kn3Frldu/2niDKlFE8SEkGeiq2&#10;6t9AQzFiEyFrtmuDTZCkBtvl0ezPo1G7yCQ9lpeT8cWYpibJVw7LSflynGuI6pTuA8bXCixLl5ob&#10;7ZJ2ohLbG4ypHVGdQtKzg2ttTJ6/cayv+WQ8GucEBKOb5ExhGNaruQlsK9IG5e9Y90FYgI1rDkWM&#10;S3kqL9+x8on7QcUVNPtlOAlEg829HZcwbc7fdpbxz483+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r+D51gAAAAgBAAAPAAAAAAAAAAEAIAAAACIAAABkcnMvZG93bnJldi54bWxQSwECFAAUAAAA&#10;CACHTuJA4F/zZvABAADAAwAADgAAAAAAAAABACAAAAAlAQAAZHJzL2Uyb0RvYy54bWxQSwUGAAAA&#10;AAYABgBZAQAAhwUAAAAA&#10;">
                      <v:fill on="f" focussize="0,0"/>
                      <v:stroke color="#000000" joinstyle="round"/>
                      <v:imagedata o:title=""/>
                      <o:lock v:ext="edit" aspectratio="f"/>
                    </v:line>
                  </w:pict>
                </mc:Fallback>
              </mc:AlternateContent>
            </w:r>
            <w:r>
              <w:rPr>
                <w:rFonts w:hAnsi="宋体"/>
                <w:color w:val="000000"/>
                <w:szCs w:val="21"/>
              </w:rPr>
              <w:t>检索种类</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p>
          <w:p>
            <w:pPr>
              <w:keepNext w:val="0"/>
              <w:keepLines w:val="0"/>
              <w:pageBreakBefore w:val="0"/>
              <w:widowControl w:val="0"/>
              <w:kinsoku/>
              <w:wordWrap/>
              <w:overflowPunct/>
              <w:topLinePunct w:val="0"/>
              <w:autoSpaceDE/>
              <w:autoSpaceDN/>
              <w:bidi w:val="0"/>
              <w:adjustRightInd/>
              <w:snapToGrid/>
              <w:spacing w:line="520" w:lineRule="exact"/>
              <w:ind w:firstLine="210" w:firstLineChars="100"/>
              <w:rPr>
                <w:color w:val="000000"/>
                <w:szCs w:val="21"/>
              </w:rPr>
            </w:pPr>
            <w:r>
              <w:rPr>
                <w:rFonts w:hAnsi="宋体"/>
                <w:color w:val="000000"/>
                <w:szCs w:val="21"/>
              </w:rPr>
              <w:t>作者顺序</w:t>
            </w:r>
          </w:p>
        </w:tc>
        <w:tc>
          <w:tcPr>
            <w:tcW w:w="5244"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SCI</w:t>
            </w:r>
            <w:r>
              <w:rPr>
                <w:rFonts w:hAnsi="宋体"/>
                <w:color w:val="000000"/>
                <w:szCs w:val="21"/>
              </w:rPr>
              <w:t>、</w:t>
            </w:r>
            <w:r>
              <w:rPr>
                <w:color w:val="000000"/>
                <w:szCs w:val="21"/>
              </w:rPr>
              <w:t>SSCI</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EI</w:t>
            </w:r>
          </w:p>
        </w:tc>
        <w:tc>
          <w:tcPr>
            <w:tcW w:w="1140" w:type="dxa"/>
            <w:vMerge w:val="restart"/>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ISTP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689"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JCR一区</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JCR二区</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JCR三区</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JCR四区</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rPr>
                <w:color w:val="000000"/>
                <w:szCs w:val="21"/>
              </w:rPr>
            </w:pPr>
          </w:p>
        </w:tc>
        <w:tc>
          <w:tcPr>
            <w:tcW w:w="1140"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68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1</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50</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rFonts w:hint="eastAsia"/>
                <w:color w:val="000000"/>
                <w:szCs w:val="21"/>
              </w:rPr>
              <w:t>40</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rFonts w:hint="eastAsia"/>
                <w:color w:val="000000"/>
                <w:szCs w:val="21"/>
              </w:rPr>
              <w:t>35</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30</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20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68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2</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40</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30</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rFonts w:hint="eastAsia"/>
                <w:color w:val="000000"/>
                <w:szCs w:val="21"/>
              </w:rPr>
              <w:t>25</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20</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10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68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rFonts w:hAnsi="宋体"/>
                <w:color w:val="000000"/>
                <w:szCs w:val="21"/>
              </w:rPr>
              <w:t>其它</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20</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15</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10</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5</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5</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2</w:t>
            </w:r>
          </w:p>
        </w:tc>
      </w:tr>
    </w:tbl>
    <w:p>
      <w:pPr>
        <w:keepNext w:val="0"/>
        <w:keepLines w:val="0"/>
        <w:pageBreakBefore w:val="0"/>
        <w:widowControl w:val="0"/>
        <w:kinsoku/>
        <w:wordWrap/>
        <w:overflowPunct/>
        <w:topLinePunct w:val="0"/>
        <w:autoSpaceDE/>
        <w:autoSpaceDN/>
        <w:bidi w:val="0"/>
        <w:adjustRightInd/>
        <w:snapToGrid/>
        <w:spacing w:line="520" w:lineRule="exact"/>
        <w:jc w:val="left"/>
        <w:rPr>
          <w:rFonts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5.</w:t>
      </w:r>
      <w:r>
        <w:rPr>
          <w:rFonts w:hint="eastAsia"/>
        </w:rPr>
        <w:t xml:space="preserve"> </w:t>
      </w:r>
      <w:r>
        <w:rPr>
          <w:rFonts w:hint="eastAsia" w:ascii="宋体" w:hAnsi="宋体"/>
          <w:color w:val="000000"/>
          <w:sz w:val="24"/>
          <w:szCs w:val="24"/>
        </w:rPr>
        <w:t>所有论文或著作加分均应有期刊封面、本人文章所在目录以及正文第一页复印件。</w:t>
      </w:r>
      <w:r>
        <w:rPr>
          <w:rFonts w:ascii="宋体" w:hAnsi="宋体"/>
          <w:color w:val="000000"/>
          <w:sz w:val="24"/>
          <w:szCs w:val="24"/>
        </w:rPr>
        <w:t>同时在期刊封面上注明该期刊是何种期刊（该环节由学院初审时监督），否则不得加分，同时需准备原件备查；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6.参加编著学术著作及参加翻译学术著作的字数以著作主编提供的数据为准。著作是指正式出版的与研究生所在学科相关的学术专著、大学以上教材、译著等，国际刊物是指境外正式出版的外文刊物；</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7.学校各培养单位自编、自发出版的刊物录用的论文不予加分；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8.在学术会议上宣读论文的必须有录入该文的大会议程和论文集；收入论文集的必须有大会论文集中该文章的复印件，否则不予加分，同时需准备论文集原件备查；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9.同一篇论文在不同的国际、国内学术会议上宣读或收录，均计最高分，不累加；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10.论文第一完成人及本人单位必须是北京林业大学。</w:t>
      </w:r>
    </w:p>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 w:val="24"/>
          <w:szCs w:val="24"/>
        </w:rPr>
        <w:sectPr>
          <w:footerReference r:id="rId3" w:type="default"/>
          <w:pgSz w:w="12240" w:h="15840"/>
          <w:pgMar w:top="1440" w:right="1083" w:bottom="1440" w:left="1083" w:header="709" w:footer="992" w:gutter="0"/>
          <w:pgNumType w:start="1"/>
          <w:cols w:space="720" w:num="1"/>
          <w:docGrid w:type="lines" w:linePitch="360" w:charSpace="0"/>
        </w:sectPr>
      </w:pPr>
    </w:p>
    <w:tbl>
      <w:tblPr>
        <w:tblStyle w:val="4"/>
        <w:tblpPr w:leftFromText="180" w:rightFromText="180" w:vertAnchor="text" w:horzAnchor="margin" w:tblpXSpec="center" w:tblpY="675"/>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993"/>
        <w:gridCol w:w="1275"/>
        <w:gridCol w:w="1560"/>
        <w:gridCol w:w="1559"/>
        <w:gridCol w:w="15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18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w:t xml:space="preserve">      刊物</w:t>
            </w:r>
          </w:p>
          <w:p>
            <w:pPr>
              <w:keepNext w:val="0"/>
              <w:keepLines w:val="0"/>
              <w:pageBreakBefore w:val="0"/>
              <w:widowControl w:val="0"/>
              <w:kinsoku/>
              <w:wordWrap/>
              <w:overflowPunct/>
              <w:topLinePunct w:val="0"/>
              <w:autoSpaceDE/>
              <w:autoSpaceDN/>
              <w:bidi w:val="0"/>
              <w:adjustRightInd/>
              <w:snapToGrid/>
              <w:spacing w:line="520" w:lineRule="exact"/>
              <w:jc w:val="left"/>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6432" behindDoc="0" locked="0" layoutInCell="1" allowOverlap="1">
                      <wp:simplePos x="0" y="0"/>
                      <wp:positionH relativeFrom="column">
                        <wp:posOffset>1043940</wp:posOffset>
                      </wp:positionH>
                      <wp:positionV relativeFrom="paragraph">
                        <wp:posOffset>15875</wp:posOffset>
                      </wp:positionV>
                      <wp:extent cx="79375" cy="79375"/>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79375" cy="79375"/>
                              </a:xfrm>
                              <a:prstGeom prst="rect">
                                <a:avLst/>
                              </a:prstGeom>
                              <a:noFill/>
                              <a:ln>
                                <a:noFill/>
                              </a:ln>
                              <a:effectLst/>
                            </wps:spPr>
                            <wps:txbx>
                              <w:txbxContent>
                                <w:p>
                                  <w:pPr>
                                    <w:snapToGrid w:val="0"/>
                                    <w:ind w:firstLine="48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2.2pt;margin-top:1.25pt;height:6.25pt;width:6.25pt;z-index:251666432;mso-width-relative:page;mso-height-relative:page;" filled="f" stroked="f" coordsize="21600,21600" o:gfxdata="UEsDBAoAAAAAAIdO4kAAAAAAAAAAAAAAAAAEAAAAZHJzL1BLAwQUAAAACACHTuJAU2TmmdcAAAAI&#10;AQAADwAAAGRycy9kb3ducmV2LnhtbE2PzU7DMBCE70i8g7VI3Kjdqg00xKkQghMSIg0Hjk68TazG&#10;6xC7P7w92xPcdjSj2W+KzdkP4ohTdIE0zGcKBFIbrKNOw2f9evcAIiZD1gyBUMMPRtiU11eFyW04&#10;UYXHbeoEl1DMjYY+pTGXMrY9ehNnYURibxcmbxLLqZN2Micu94NcKJVJbxzxh96M+Nxju98evIan&#10;L6pe3Pd781HtKlfXa0Vv2V7r25u5egSR8Jz+wnDBZ3QomakJB7JRDKyz5ZKjGhYrEBf/PluDaPhY&#10;KZBlIf8PKH8BUEsDBBQAAAAIAIdO4kC4JIkOCwIAABIEAAAOAAAAZHJzL2Uyb0RvYy54bWytU0uO&#10;EzEQ3SNxB8t70kkQDLTSGQ0TDUIaPtLAARy3O23Rdpmyk+5wALgBKzbsOVfOQdlOZ4ZhMws2Vrlc&#10;9Vzv+XlxPpiO7RR6Dbbis8mUM2Ul1NpuKv7p49WTF5z5IGwtOrCq4nvl+fny8aNF70o1hxa6WiEj&#10;EOvL3lW8DcGVReFlq4zwE3DK0mEDaESgLW6KGkVP6KYr5tPp86IHrB2CVN5TdpUP+RERHwIITaOl&#10;WoHcGmVDRkXViUCUfKud58s0bdMoGd43jVeBdRUnpiGtdAnF67gWy4UoNyhcq+VxBPGQEe5xMkJb&#10;uvQEtRJBsC3qf6CMlggemjCRYIpMJClCLGbTe9rctMKpxIWk9u4kuv9/sPLd7gMyXZMT5pxZYejF&#10;Dz++H37+Pvz6xihHAvXOl1R346gyDK9goOJE1rtrkJ89s3DZCrtRF4jQt0rUNOAsdhZ3WjOOjyDr&#10;/i3UdJHYBkhAQ4Mmqkd6MEKnx9mfHkcNgUlKnr18evaMM0knOYz4ohxbHfrwWoFhMag40ssnaLG7&#10;9iGXjiXxJgtXuusoL8rO/pUgzJxRyT7H7kgkzp5ZhGE9UG9MrqHeEyWEbC36WBS0gF8568lWFfdf&#10;tgIVZ90bS7JED44BjsF6DISV1FrxwFkOL0P26tah3rSEnIW3cEHSNToRu53iKDhZJUlztHX04t19&#10;qrr9ys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2TmmdcAAAAIAQAADwAAAAAAAAABACAAAAAi&#10;AAAAZHJzL2Rvd25yZXYueG1sUEsBAhQAFAAAAAgAh07iQLgkiQ4LAgAAEgQAAA4AAAAAAAAAAQAg&#10;AAAAJgEAAGRycy9lMm9Eb2MueG1sUEsFBgAAAAAGAAYAWQEAAKMFAAAAAA==&#10;">
                      <v:fill on="f" focussize="0,0"/>
                      <v:stroke on="f"/>
                      <v:imagedata o:title=""/>
                      <o:lock v:ext="edit" aspectratio="f"/>
                      <v:textbox inset="0mm,0mm,0mm,0mm">
                        <w:txbxContent>
                          <w:p>
                            <w:pPr>
                              <w:snapToGrid w:val="0"/>
                              <w:ind w:firstLine="480"/>
                            </w:pPr>
                          </w:p>
                        </w:txbxContent>
                      </v:textbox>
                    </v:shape>
                  </w:pict>
                </mc:Fallback>
              </mc:AlternateContent>
            </w:r>
            <w:r>
              <w:rPr>
                <w:rFonts w:ascii="宋体" w:hAnsi="宋体"/>
                <w:color w:val="000000"/>
                <w:szCs w:val="21"/>
              </w:rPr>
              <w:t>类别</w:t>
            </w:r>
          </w:p>
          <w:p>
            <w:pPr>
              <w:keepNext w:val="0"/>
              <w:keepLines w:val="0"/>
              <w:pageBreakBefore w:val="0"/>
              <w:widowControl w:val="0"/>
              <w:kinsoku/>
              <w:wordWrap/>
              <w:overflowPunct/>
              <w:topLinePunct w:val="0"/>
              <w:autoSpaceDE/>
              <w:autoSpaceDN/>
              <w:bidi w:val="0"/>
              <w:adjustRightInd/>
              <w:snapToGrid/>
              <w:spacing w:line="520" w:lineRule="exact"/>
              <w:jc w:val="left"/>
              <w:rPr>
                <w:rFonts w:ascii="宋体" w:hAnsi="宋体"/>
                <w:color w:val="000000"/>
                <w:szCs w:val="21"/>
              </w:rPr>
            </w:pPr>
            <w:r>
              <w:rPr>
                <w:rFonts w:ascii="宋体" w:hAnsi="宋体"/>
                <w:color w:val="000000"/>
                <w:szCs w:val="21"/>
              </w:rPr>
              <w:t xml:space="preserve">作者顺序     </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著作</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国际刊物</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中文</w:t>
            </w:r>
          </w:p>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核心期刊</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国际</w:t>
            </w:r>
          </w:p>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会议论文</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国内</w:t>
            </w:r>
          </w:p>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会议论文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w:t>1</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w:t>50</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rFonts w:hint="eastAsia"/>
                <w:color w:val="000000"/>
                <w:szCs w:val="21"/>
              </w:rPr>
              <w:t>25</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w:t>15</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w:t>10</w:t>
            </w:r>
          </w:p>
        </w:tc>
        <w:tc>
          <w:tcPr>
            <w:tcW w:w="15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w:t>2</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w:t>30</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rFonts w:hint="eastAsia"/>
                <w:color w:val="000000"/>
                <w:szCs w:val="21"/>
              </w:rPr>
              <w:t>15</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w:t>10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w:t>5</w:t>
            </w:r>
          </w:p>
        </w:tc>
        <w:tc>
          <w:tcPr>
            <w:tcW w:w="15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w:t>其他</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w:t>10</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w:t>5</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w:t>5</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w:t>0</w:t>
            </w:r>
          </w:p>
        </w:tc>
        <w:tc>
          <w:tcPr>
            <w:tcW w:w="15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w:t>0</w:t>
            </w:r>
          </w:p>
        </w:tc>
      </w:tr>
    </w:tbl>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 w:val="24"/>
          <w:szCs w:val="24"/>
        </w:rPr>
      </w:pPr>
      <w:r>
        <w:rPr>
          <w:rFonts w:ascii="宋体" w:hAnsi="宋体"/>
          <w:color w:val="000000"/>
          <w:sz w:val="24"/>
          <w:szCs w:val="24"/>
        </w:rPr>
        <w:t>表4</w:t>
      </w:r>
      <w:r>
        <w:rPr>
          <w:rFonts w:hint="eastAsia" w:ascii="宋体" w:hAnsi="宋体"/>
          <w:color w:val="000000"/>
          <w:sz w:val="24"/>
          <w:szCs w:val="24"/>
        </w:rPr>
        <w:t xml:space="preserve"> 自然科学类</w:t>
      </w:r>
      <w:r>
        <w:rPr>
          <w:rFonts w:ascii="宋体" w:hAnsi="宋体"/>
          <w:color w:val="000000"/>
          <w:sz w:val="24"/>
          <w:szCs w:val="24"/>
        </w:rPr>
        <w:t>研究生发表论文计分表</w:t>
      </w:r>
    </w:p>
    <w:p>
      <w:pPr>
        <w:keepNext w:val="0"/>
        <w:keepLines w:val="0"/>
        <w:pageBreakBefore w:val="0"/>
        <w:widowControl w:val="0"/>
        <w:kinsoku/>
        <w:wordWrap/>
        <w:overflowPunct/>
        <w:topLinePunct w:val="0"/>
        <w:autoSpaceDE/>
        <w:autoSpaceDN/>
        <w:bidi w:val="0"/>
        <w:adjustRightInd/>
        <w:snapToGrid/>
        <w:spacing w:line="520" w:lineRule="exact"/>
        <w:rPr>
          <w:rFonts w:ascii="宋体" w:hAnsi="宋体"/>
          <w:color w:val="000000"/>
          <w:sz w:val="24"/>
          <w:szCs w:val="24"/>
        </w:rPr>
      </w:pPr>
      <w:r>
        <w:rPr>
          <w:rFonts w:ascii="宋体" w:hAnsi="宋体"/>
          <w:color w:val="000000"/>
          <w:szCs w:val="21"/>
        </w:rPr>
        <mc:AlternateContent>
          <mc:Choice Requires="wps">
            <w:drawing>
              <wp:anchor distT="0" distB="0" distL="114300" distR="114300" simplePos="0" relativeHeight="251665408" behindDoc="0" locked="0" layoutInCell="1" allowOverlap="1">
                <wp:simplePos x="0" y="0"/>
                <wp:positionH relativeFrom="column">
                  <wp:posOffset>399415</wp:posOffset>
                </wp:positionH>
                <wp:positionV relativeFrom="paragraph">
                  <wp:posOffset>83820</wp:posOffset>
                </wp:positionV>
                <wp:extent cx="1173480" cy="1036320"/>
                <wp:effectExtent l="0" t="0" r="7620" b="1143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1173480" cy="10363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45pt;margin-top:6.6pt;height:81.6pt;width:92.4pt;z-index:251665408;mso-width-relative:page;mso-height-relative:page;" filled="f" stroked="t" coordsize="21600,21600" o:gfxdata="UEsDBAoAAAAAAIdO4kAAAAAAAAAAAAAAAAAEAAAAZHJzL1BLAwQUAAAACACHTuJAHJOlq9cAAAAJ&#10;AQAADwAAAGRycy9kb3ducmV2LnhtbE2PzU7DMBCE70i8g7VIXCpq160SCHF6AHLjQgFxdeMliYjX&#10;aez+wNOznMpxZ0az35Trkx/EAafYBzKwmCsQSE1wPbUG3l7rm1sQMVlydgiEBr4xwrq6vCht4cKR&#10;XvCwSa3gEoqFNdClNBZSxqZDb+M8jEjsfYbJ28Tn1Eo32SOX+0FqpTLpbU/8obMjPnTYfG323kCs&#10;33FX/8yamfpYtgH17vH5yRpzfbVQ9yASntI5DH/4jA4VM23DnlwUg4FM33GS9aUGwb5e5TmILQt5&#10;tgJZlfL/guoXUEsDBBQAAAAIAIdO4kAa8rOE8gEAAMADAAAOAAAAZHJzL2Uyb0RvYy54bWytU81u&#10;EzEQviPxDpbvZLMJLWWVTQ+JyqVApJYHcLzerIXtsTxONnkJXgCJG5w49s7bUB6DsfNDKZce2IPl&#10;8cx8M983s5PLrTVsowJqcDUvB0POlJPQaLeq+YfbqxcXnGEUrhEGnKr5TiG/nD5/Nul9pUbQgWlU&#10;YATisOp9zbsYfVUUKDtlBQ7AK0fOFoIVkcywKpogekK3phgNh+dFD6HxAaRCpNf53skPiOEpgNC2&#10;Wqo5yLVVLu5RgzIiEiXstEc+zd22rZLxfduiiszUnJjGfFIRui/TWUwnoloF4TstDy2Ip7TwiJMV&#10;2lHRE9RcRMHWQf8DZbUMgNDGgQRb7IlkRYhFOXykzU0nvMpcSGr0J9Hx/8HKd5tFYLqhTRhz5oSl&#10;id9/vvv56euvH1/ovP/+jZGHZOo9VhQ9c4uQiMqtu/HXID8iczDrhFup3O7tzhNEmTKKv1KSgZ6K&#10;Lfu30FCMWEfImm3bYBMkqcG2eTS702jUNjJJj2X5avzygqYmyVcOx+fjUR5eIapjug8Y3yiwLF1q&#10;brRL2olKbK4xpnZEdQxJzw6utDF5/saxvuavz0ZnOQHB6CY5UxiG1XJmAtuItEH5y9zI8zAswNo1&#10;+yLGpTyVl+9Q+ch9r+ISmt0iHAWiwebeDkuYNuehnWX88+NN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k6Wr1wAAAAkBAAAPAAAAAAAAAAEAIAAAACIAAABkcnMvZG93bnJldi54bWxQSwECFAAU&#10;AAAACACHTuJAGvKzhPIBAADAAwAADgAAAAAAAAABACAAAAAmAQAAZHJzL2Uyb0RvYy54bWxQSwUG&#10;AAAAAAYABgBZAQAAig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jc w:val="left"/>
        <w:rPr>
          <w:rFonts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rPr>
          <w:rFonts w:ascii="宋体" w:hAnsi="宋体"/>
          <w:b/>
          <w:color w:val="000000"/>
          <w:sz w:val="24"/>
          <w:szCs w:val="24"/>
        </w:rPr>
      </w:pPr>
      <w:r>
        <w:rPr>
          <w:rFonts w:hint="eastAsia" w:ascii="宋体" w:hAnsi="宋体"/>
          <w:b/>
          <w:color w:val="000000"/>
          <w:sz w:val="24"/>
          <w:szCs w:val="24"/>
        </w:rPr>
        <w:t>四、竞赛获奖</w:t>
      </w:r>
      <w:r>
        <w:rPr>
          <w:rFonts w:ascii="宋体" w:hAnsi="宋体"/>
          <w:b/>
          <w:color w:val="000000"/>
          <w:sz w:val="24"/>
          <w:szCs w:val="24"/>
        </w:rPr>
        <w:t>情况</w:t>
      </w:r>
      <w:r>
        <w:rPr>
          <w:rFonts w:hint="eastAsia" w:ascii="宋体" w:hAnsi="宋体"/>
          <w:b/>
          <w:color w:val="000000"/>
          <w:sz w:val="24"/>
          <w:szCs w:val="24"/>
        </w:rPr>
        <w:t>（占总分值15%）</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1.包括各类国内外举办的科学技术竞赛，创业大赛，设计竞赛以及各类专业比赛等；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 xml:space="preserve"> 按名次决定成绩的科技学术竞赛，第一名对应一等奖，第二名对应二等奖，第</w:t>
      </w:r>
      <w:r>
        <w:rPr>
          <w:rFonts w:hint="eastAsia" w:ascii="宋体" w:hAnsi="宋体"/>
          <w:color w:val="000000"/>
          <w:sz w:val="24"/>
          <w:szCs w:val="24"/>
        </w:rPr>
        <w:t>三名</w:t>
      </w:r>
      <w:r>
        <w:rPr>
          <w:rFonts w:ascii="宋体" w:hAnsi="宋体"/>
          <w:color w:val="000000"/>
          <w:sz w:val="24"/>
          <w:szCs w:val="24"/>
        </w:rPr>
        <w:t>对应三等奖</w:t>
      </w:r>
      <w:r>
        <w:rPr>
          <w:rFonts w:hint="eastAsia" w:ascii="宋体" w:hAnsi="宋体"/>
          <w:color w:val="000000"/>
          <w:sz w:val="24"/>
          <w:szCs w:val="24"/>
        </w:rPr>
        <w:t>，第四名及以后对应其他奖项</w:t>
      </w:r>
      <w:r>
        <w:rPr>
          <w:rFonts w:ascii="宋体" w:hAnsi="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3.如以团体名义参赛获奖的，团体内个人不分先后，均按照获奖等级加分；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4.参赛获奖个人或团体所属单位必须是北京林业大学；</w:t>
      </w:r>
    </w:p>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 w:val="24"/>
          <w:szCs w:val="24"/>
        </w:rPr>
      </w:pPr>
      <w:r>
        <w:rPr>
          <w:rFonts w:ascii="宋体" w:hAnsi="宋体"/>
          <w:color w:val="000000"/>
          <w:sz w:val="24"/>
          <w:szCs w:val="24"/>
        </w:rPr>
        <w:t>表</w:t>
      </w:r>
      <w:r>
        <w:rPr>
          <w:rFonts w:hint="eastAsia" w:ascii="宋体" w:hAnsi="宋体"/>
          <w:color w:val="000000"/>
          <w:sz w:val="24"/>
          <w:szCs w:val="24"/>
        </w:rPr>
        <w:t>5 自然科学类</w:t>
      </w:r>
      <w:r>
        <w:rPr>
          <w:rFonts w:ascii="宋体" w:hAnsi="宋体"/>
          <w:color w:val="000000"/>
          <w:sz w:val="24"/>
          <w:szCs w:val="24"/>
        </w:rPr>
        <w:t>研究生</w:t>
      </w:r>
      <w:r>
        <w:rPr>
          <w:rFonts w:hint="eastAsia" w:ascii="宋体" w:hAnsi="宋体"/>
          <w:color w:val="000000"/>
          <w:sz w:val="24"/>
          <w:szCs w:val="24"/>
        </w:rPr>
        <w:t>竞赛获奖</w:t>
      </w:r>
      <w:r>
        <w:rPr>
          <w:rFonts w:ascii="宋体" w:hAnsi="宋体"/>
          <w:color w:val="000000"/>
          <w:sz w:val="24"/>
          <w:szCs w:val="24"/>
        </w:rPr>
        <w:t>计分表</w:t>
      </w:r>
    </w:p>
    <w:tbl>
      <w:tblPr>
        <w:tblStyle w:val="4"/>
        <w:tblpPr w:leftFromText="180" w:rightFromText="180" w:vertAnchor="text" w:horzAnchor="margin" w:tblpXSpec="center" w:tblpY="176"/>
        <w:tblW w:w="83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418"/>
        <w:gridCol w:w="1417"/>
        <w:gridCol w:w="1134"/>
        <w:gridCol w:w="1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18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0288" behindDoc="0" locked="0" layoutInCell="1" allowOverlap="1">
                      <wp:simplePos x="0" y="0"/>
                      <wp:positionH relativeFrom="column">
                        <wp:posOffset>-55245</wp:posOffset>
                      </wp:positionH>
                      <wp:positionV relativeFrom="paragraph">
                        <wp:posOffset>52070</wp:posOffset>
                      </wp:positionV>
                      <wp:extent cx="1099185" cy="960755"/>
                      <wp:effectExtent l="0" t="0" r="5715" b="1079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1099185" cy="96075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35pt;margin-top:4.1pt;height:75.65pt;width:86.55pt;z-index:251660288;mso-width-relative:page;mso-height-relative:page;" filled="f" stroked="t" coordsize="21600,21600" o:gfxdata="UEsDBAoAAAAAAIdO4kAAAAAAAAAAAAAAAAAEAAAAZHJzL1BLAwQUAAAACACHTuJAzriLMtgAAAAI&#10;AQAADwAAAGRycy9kb3ducmV2LnhtbE2PzU7DMBCE70h9B2srcalau6EtaYjTA5AbFwqI6zbeJhHx&#10;Oo3dH3h63BPcZjWjmW/zzcV24kSDbx1rmM8UCOLKmZZrDe9v5TQF4QOywc4xafgmD5tidJNjZtyZ&#10;X+m0DbWIJewz1NCE0GdS+qohi37meuLo7d1gMcRzqKUZ8BzLbScTpVbSYstxocGeHhuqvrZHq8GX&#10;H3QofybVRH3e1Y6Sw9PLM2p9O56rBxCBLuEvDFf8iA5FZNq5IxsvOg3T9D4mNaQJiKu9WixA7KJY&#10;rpcgi1z+f6D4BVBLAwQUAAAACACHTuJA8zh5hO4BAAC/AwAADgAAAGRycy9lMm9Eb2MueG1srVPN&#10;jtMwEL4j8Q6W7zRJpSzbqOkeWi2XBSrt8gCu4zQWtsey3aZ9CV4AiRucOHLnbXZ5DMZOWtjlsgdy&#10;sOz5+Wa+bybzq4NWZC+cl2BqWkxySoTh0EizremHu+tXl5T4wEzDFBhR06Pw9Grx8sW8t5WYQgeq&#10;EY4giPFVb2vahWCrLPO8E5r5CVhh0NmC0yzg022zxrEe0bXKpnl+kfXgGuuAC+/RuhqcdER0zwGE&#10;tpVcrIDvtDBhQHVCsYCUfCetp4vUbdsKHt63rReBqJoi05BOLIL3TTyzxZxVW8dsJ/nYAntOC084&#10;aSYNFj1DrVhgZOfkP1Bacgce2jDhoLOBSFIEWRT5E21uO2ZF4oJSe3sW3f8/WP5uv3ZENrgJBSWG&#10;aZz4w+cf95++/vr5Bc+H798IelCm3voKo5dm7SJRfjC39gb4R08MLDtmtiK1e3e0CJEyskcp8eEt&#10;Ftv0b6HBGLYLkDQ7tE5HSFSDHNJojufRiEMgHI1FPpsVlyUlHH2zi/x1WcamMladsq3z4Y0ATeKl&#10;pkqaKB2r2P7GhyH0FBLNBq6lUmn8ypAeQctpmRI8KNlEZwzzbrtZKkf2LC5Q+sa6j8Ic7EwzFFEm&#10;5om0e2PlE/VBxA00x7WLwdGOc000xh2Mi/P3O0X9+e8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uIsy2AAAAAgBAAAPAAAAAAAAAAEAIAAAACIAAABkcnMvZG93bnJldi54bWxQSwECFAAUAAAA&#10;CACHTuJA8zh5hO4BAAC/AwAADgAAAAAAAAABACAAAAAnAQAAZHJzL2Uyb0RvYy54bWxQSwUGAAAA&#10;AAYABgBZAQAAhwUAAAAA&#10;">
                      <v:fill on="f" focussize="0,0"/>
                      <v:stroke color="#000000" joinstyle="round"/>
                      <v:imagedata o:title=""/>
                      <o:lock v:ext="edit" aspectratio="f"/>
                    </v:line>
                  </w:pict>
                </mc:Fallback>
              </mc:AlternateContent>
            </w:r>
            <w:r>
              <w:rPr>
                <w:rFonts w:hint="eastAsia" w:ascii="宋体" w:hAnsi="宋体"/>
                <w:color w:val="000000"/>
                <w:szCs w:val="21"/>
              </w:rPr>
              <w:t>竞赛级别</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1043940</wp:posOffset>
                      </wp:positionH>
                      <wp:positionV relativeFrom="paragraph">
                        <wp:posOffset>15875</wp:posOffset>
                      </wp:positionV>
                      <wp:extent cx="79375" cy="79375"/>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79375" cy="79375"/>
                              </a:xfrm>
                              <a:prstGeom prst="rect">
                                <a:avLst/>
                              </a:prstGeom>
                              <a:noFill/>
                              <a:ln>
                                <a:noFill/>
                              </a:ln>
                              <a:effectLst/>
                            </wps:spPr>
                            <wps:txbx>
                              <w:txbxContent>
                                <w:p>
                                  <w:pPr>
                                    <w:snapToGrid w:val="0"/>
                                    <w:ind w:firstLine="48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2.2pt;margin-top:1.25pt;height:6.25pt;width:6.25pt;z-index:251661312;mso-width-relative:page;mso-height-relative:page;" filled="f" stroked="f" coordsize="21600,21600" o:gfxdata="UEsDBAoAAAAAAIdO4kAAAAAAAAAAAAAAAAAEAAAAZHJzL1BLAwQUAAAACACHTuJAU2TmmdcAAAAI&#10;AQAADwAAAGRycy9kb3ducmV2LnhtbE2PzU7DMBCE70i8g7VI3Kjdqg00xKkQghMSIg0Hjk68TazG&#10;6xC7P7w92xPcdjSj2W+KzdkP4ohTdIE0zGcKBFIbrKNOw2f9evcAIiZD1gyBUMMPRtiU11eFyW04&#10;UYXHbeoEl1DMjYY+pTGXMrY9ehNnYURibxcmbxLLqZN2Micu94NcKJVJbxzxh96M+Nxju98evIan&#10;L6pe3Pd781HtKlfXa0Vv2V7r25u5egSR8Jz+wnDBZ3QomakJB7JRDKyz5ZKjGhYrEBf/PluDaPhY&#10;KZBlIf8PKH8BUEsDBBQAAAAIAIdO4kDQf4nHCwIAABIEAAAOAAAAZHJzL2Uyb0RvYy54bWytU81u&#10;EzEQviPxDpbvZJMiKKyyqUqjIqTyIxUeYOL1Zi12PWbsZLc8ALwBJy7cea48B2M7SUu59MDFGo9n&#10;Ps/3+fP8bOw7sdXkDdpKziZTKbRVWBu7ruSnj5dPXkjhA9gaOrS6kjfay7PF40fzwZX6BFvsak2C&#10;QawvB1fJNgRXFoVXre7BT9Bpy4cNUg+Bt7QuaoKB0fuuOJlOnxcDUu0Ilfaes8t8KPeI9BBAbBqj&#10;9BLVptc2ZFTSHQSm5FvjvFykaZtGq/C+abwOoqskMw1p5Us4XsW1WMyhXBO41qj9CPCQEe5x6sFY&#10;vvQItYQAYkPmH6jeKEKPTZgo7ItMJCnCLGbTe9pct+B04sJSe3cU3f8/WPVu+4GEqdkJLImFnl98&#10;9+P77ufv3a9vgnMs0OB8yXXXjivD+ApHLk5kvbtC9dkLixct2LU+J8Kh1VDzgLPYWdxpzTg+gqyG&#10;t1jzRbAJmIDGhvqoHushGJ0nuTk+jh6DUJw8ffn09JkUik9yGPGhPLQ68uG1xl7EoJLEL5+gYXvl&#10;Qy49lMSbLF6aruM8lJ39K8GYOaOTffbdkUicPbMI42rk3phcYX3DlAiztfhjcdAifZViYFtV0n/Z&#10;AGkpujeWZYkePAR0CFaHAKzi1koGKXJ4EbJXN47MumXkLLzFc5auMYnY7RR7wdkqSZq9raMX7+5T&#10;1e1XXv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2TmmdcAAAAIAQAADwAAAAAAAAABACAAAAAi&#10;AAAAZHJzL2Rvd25yZXYueG1sUEsBAhQAFAAAAAgAh07iQNB/iccLAgAAEgQAAA4AAAAAAAAAAQAg&#10;AAAAJgEAAGRycy9lMm9Eb2MueG1sUEsFBgAAAAAGAAYAWQEAAKMFAAAAAA==&#10;">
                      <v:fill on="f" focussize="0,0"/>
                      <v:stroke on="f"/>
                      <v:imagedata o:title=""/>
                      <o:lock v:ext="edit" aspectratio="f"/>
                      <v:textbox inset="0mm,0mm,0mm,0mm">
                        <w:txbxContent>
                          <w:p>
                            <w:pPr>
                              <w:snapToGrid w:val="0"/>
                              <w:ind w:firstLine="480"/>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jc w:val="left"/>
              <w:rPr>
                <w:rFonts w:ascii="宋体" w:hAnsi="宋体"/>
                <w:color w:val="000000"/>
                <w:szCs w:val="21"/>
              </w:rPr>
            </w:pPr>
            <w:r>
              <w:rPr>
                <w:rFonts w:hint="eastAsia" w:ascii="宋体" w:hAnsi="宋体"/>
                <w:color w:val="000000"/>
                <w:szCs w:val="21"/>
              </w:rPr>
              <w:t>获奖等级</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hint="eastAsia" w:ascii="宋体" w:hAnsi="宋体"/>
                <w:color w:val="000000"/>
                <w:szCs w:val="21"/>
              </w:rPr>
              <w:t>国际级</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210" w:firstLineChars="100"/>
              <w:rPr>
                <w:rFonts w:ascii="宋体" w:hAnsi="宋体"/>
                <w:color w:val="000000"/>
                <w:szCs w:val="21"/>
              </w:rPr>
            </w:pPr>
            <w:r>
              <w:rPr>
                <w:rFonts w:hint="eastAsia" w:ascii="宋体" w:hAnsi="宋体"/>
                <w:color w:val="000000"/>
                <w:szCs w:val="21"/>
              </w:rPr>
              <w:t>国家级</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210" w:firstLineChars="100"/>
              <w:jc w:val="left"/>
              <w:rPr>
                <w:rFonts w:ascii="宋体" w:hAnsi="宋体"/>
                <w:color w:val="000000"/>
                <w:szCs w:val="21"/>
              </w:rPr>
            </w:pPr>
            <w:r>
              <w:rPr>
                <w:rFonts w:hint="eastAsia" w:ascii="宋体" w:hAnsi="宋体"/>
                <w:color w:val="000000"/>
                <w:szCs w:val="21"/>
              </w:rPr>
              <w:t xml:space="preserve">省部级 </w:t>
            </w:r>
          </w:p>
          <w:p>
            <w:pPr>
              <w:keepNext w:val="0"/>
              <w:keepLines w:val="0"/>
              <w:pageBreakBefore w:val="0"/>
              <w:widowControl w:val="0"/>
              <w:kinsoku/>
              <w:wordWrap/>
              <w:overflowPunct/>
              <w:topLinePunct w:val="0"/>
              <w:autoSpaceDE/>
              <w:autoSpaceDN/>
              <w:bidi w:val="0"/>
              <w:adjustRightInd/>
              <w:snapToGrid/>
              <w:spacing w:line="520" w:lineRule="exact"/>
              <w:rPr>
                <w:rFonts w:ascii="宋体" w:hAnsi="宋体"/>
                <w:color w:val="000000"/>
                <w:szCs w:val="21"/>
              </w:rPr>
            </w:pPr>
            <w:r>
              <w:rPr>
                <w:rFonts w:hint="eastAsia" w:ascii="宋体" w:hAnsi="宋体"/>
                <w:color w:val="000000"/>
                <w:szCs w:val="21"/>
                <w:highlight w:val="none"/>
              </w:rPr>
              <w:t>（含直辖市）</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rPr>
                <w:rFonts w:ascii="宋体" w:hAnsi="宋体"/>
                <w:color w:val="000000"/>
                <w:szCs w:val="21"/>
              </w:rPr>
            </w:pPr>
            <w:r>
              <w:rPr>
                <w:rFonts w:hint="eastAsia" w:ascii="宋体" w:hAnsi="宋体"/>
                <w:color w:val="000000"/>
                <w:szCs w:val="21"/>
              </w:rPr>
              <w:t>校级</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210" w:firstLineChars="100"/>
              <w:rPr>
                <w:rFonts w:ascii="宋体" w:hAnsi="宋体"/>
                <w:color w:val="000000"/>
                <w:szCs w:val="21"/>
              </w:rPr>
            </w:pPr>
            <w:r>
              <w:rPr>
                <w:rFonts w:hint="eastAsia" w:ascii="宋体" w:hAnsi="宋体"/>
                <w:color w:val="000000"/>
                <w:szCs w:val="21"/>
              </w:rPr>
              <w:t>院级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一等奖</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100</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80</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40</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15</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二等奖</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80</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60</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30</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10</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三等奖</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50</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40</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20</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8</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其他奖项</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30</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20</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10</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6</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rPr>
          <w:rFonts w:ascii="宋体" w:hAnsi="宋体"/>
          <w:b/>
          <w:color w:val="000000"/>
          <w:sz w:val="24"/>
          <w:szCs w:val="24"/>
        </w:rPr>
      </w:pPr>
      <w:r>
        <w:rPr>
          <w:rFonts w:hint="eastAsia" w:ascii="宋体" w:hAnsi="宋体"/>
          <w:b/>
          <w:color w:val="000000"/>
          <w:sz w:val="24"/>
          <w:szCs w:val="24"/>
        </w:rPr>
        <w:t>五</w:t>
      </w:r>
      <w:r>
        <w:rPr>
          <w:rFonts w:ascii="宋体" w:hAnsi="宋体"/>
          <w:b/>
          <w:color w:val="000000"/>
          <w:sz w:val="24"/>
          <w:szCs w:val="24"/>
        </w:rPr>
        <w:t>、申请科研立项（占总分值的1</w:t>
      </w:r>
      <w:r>
        <w:rPr>
          <w:rFonts w:hint="eastAsia" w:ascii="宋体" w:hAnsi="宋体"/>
          <w:b/>
          <w:color w:val="000000"/>
          <w:sz w:val="24"/>
          <w:szCs w:val="24"/>
        </w:rPr>
        <w:t>5</w:t>
      </w:r>
      <w:r>
        <w:rPr>
          <w:rFonts w:ascii="宋体" w:hAnsi="宋体"/>
          <w:b/>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.科研立项的主持人指申请科研立项的申请人必须为研究生本人，且申请单位必须为北京林业大学</w:t>
      </w:r>
      <w:r>
        <w:rPr>
          <w:rFonts w:hint="eastAsia" w:ascii="宋体" w:hAnsi="宋体"/>
          <w:color w:val="000000"/>
          <w:sz w:val="24"/>
          <w:szCs w:val="24"/>
        </w:rPr>
        <w:t>（出示</w:t>
      </w:r>
      <w:r>
        <w:rPr>
          <w:rFonts w:ascii="宋体" w:hAnsi="宋体"/>
          <w:color w:val="000000"/>
          <w:sz w:val="24"/>
          <w:szCs w:val="24"/>
        </w:rPr>
        <w:t>科研立项</w:t>
      </w:r>
      <w:r>
        <w:rPr>
          <w:rFonts w:hint="eastAsia" w:ascii="宋体" w:hAnsi="宋体"/>
          <w:color w:val="000000"/>
          <w:sz w:val="24"/>
          <w:szCs w:val="24"/>
        </w:rPr>
        <w:t>书）</w:t>
      </w:r>
      <w:r>
        <w:rPr>
          <w:rFonts w:ascii="宋体"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.作为参与人参与的科研项目申请单位必须为北京林业大学。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rPr>
          <w:rFonts w:ascii="宋体" w:hAnsi="宋体"/>
          <w:color w:val="000000"/>
          <w:sz w:val="24"/>
          <w:szCs w:val="24"/>
        </w:rPr>
      </w:pPr>
      <w:r>
        <w:rPr>
          <w:rFonts w:hint="eastAsia" w:ascii="宋体" w:hAnsi="宋体"/>
          <w:color w:val="000000"/>
          <w:sz w:val="24"/>
          <w:szCs w:val="24"/>
        </w:rPr>
        <w:t>表6 自然科学类</w:t>
      </w:r>
      <w:r>
        <w:rPr>
          <w:rFonts w:ascii="宋体" w:hAnsi="宋体"/>
          <w:color w:val="000000"/>
          <w:sz w:val="24"/>
          <w:szCs w:val="24"/>
        </w:rPr>
        <w:t>研究生</w:t>
      </w:r>
      <w:r>
        <w:rPr>
          <w:rFonts w:hint="eastAsia" w:ascii="宋体" w:hAnsi="宋体"/>
          <w:color w:val="000000"/>
          <w:sz w:val="24"/>
          <w:szCs w:val="24"/>
        </w:rPr>
        <w:t>科研立项计分表</w:t>
      </w:r>
    </w:p>
    <w:tbl>
      <w:tblPr>
        <w:tblStyle w:val="4"/>
        <w:tblpPr w:leftFromText="180" w:rightFromText="180" w:vertAnchor="text" w:horzAnchor="margin" w:tblpXSpec="center" w:tblpY="176"/>
        <w:tblW w:w="71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418"/>
        <w:gridCol w:w="1417"/>
        <w:gridCol w:w="1276"/>
        <w:gridCol w:w="1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18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7456" behindDoc="0" locked="0" layoutInCell="1" allowOverlap="1">
                      <wp:simplePos x="0" y="0"/>
                      <wp:positionH relativeFrom="column">
                        <wp:posOffset>-55245</wp:posOffset>
                      </wp:positionH>
                      <wp:positionV relativeFrom="paragraph">
                        <wp:posOffset>52070</wp:posOffset>
                      </wp:positionV>
                      <wp:extent cx="1099185" cy="960755"/>
                      <wp:effectExtent l="0" t="0" r="5715" b="1079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099185" cy="96075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35pt;margin-top:4.1pt;height:75.65pt;width:86.55pt;z-index:251667456;mso-width-relative:page;mso-height-relative:page;" filled="f" stroked="t" coordsize="21600,21600" o:gfxdata="UEsDBAoAAAAAAIdO4kAAAAAAAAAAAAAAAAAEAAAAZHJzL1BLAwQUAAAACACHTuJAzriLMtgAAAAI&#10;AQAADwAAAGRycy9kb3ducmV2LnhtbE2PzU7DMBCE70h9B2srcalau6EtaYjTA5AbFwqI6zbeJhHx&#10;Oo3dH3h63BPcZjWjmW/zzcV24kSDbx1rmM8UCOLKmZZrDe9v5TQF4QOywc4xafgmD5tidJNjZtyZ&#10;X+m0DbWIJewz1NCE0GdS+qohi37meuLo7d1gMcRzqKUZ8BzLbScTpVbSYstxocGeHhuqvrZHq8GX&#10;H3QofybVRH3e1Y6Sw9PLM2p9O56rBxCBLuEvDFf8iA5FZNq5IxsvOg3T9D4mNaQJiKu9WixA7KJY&#10;rpcgi1z+f6D4BVBLAwQUAAAACACHTuJAGLN6Mu4BAAC9AwAADgAAAGRycy9lMm9Eb2MueG1srVPN&#10;bhMxEL4j8Q6W72Q3kVKaVTY9JCqXApFaHsDxerMWtsfyONnkJXgBJG5w4sidt2l5DMbOD7RcemAP&#10;lscz881838xOr3bWsK0KqMHVfDgoOVNOQqPduuYf7q5fXXKGUbhGGHCq5nuF/Gr28sW095UaQQem&#10;UYERiMOq9zXvYvRVUaDslBU4AK8cOVsIVkQyw7pogugJ3ZpiVJYXRQ+h8QGkQqTXxcHJj4jhOYDQ&#10;tlqqBciNVS4eUIMyIhIl7LRHPsvdtq2S8X3boorM1JyYxnxSEbqv0lnMpqJaB+E7LY8tiOe08IST&#10;FdpR0TPUQkTBNkH/A2W1DIDQxoEEWxyIZEWIxbB8os1tJ7zKXEhq9GfR8f/BynfbZWC6qfmEMycs&#10;Dfzh84/7T19//fxC58P3b2ySROo9VhQ7d8uQaMqdu/U3ID8iczDvhFur3Ozd3hPCMGUUj1KSgZ5K&#10;rfq30FCM2ETIiu3aYBMkacF2eTD782DULjJJj8NyMhlejjmT5JtclK/H41xCVKdsHzC+UWBZutTc&#10;aJeEE5XY3mBM3YjqFJKeHVxrY/LwjWM9gY5H45yAYHSTnCkMw3o1N4FtRVqf/B3rPgoLsHHNoYhx&#10;KU/lzTtWPlE/iLiCZr8MJ31oqrm34wamtfnbzir++et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uIsy2AAAAAgBAAAPAAAAAAAAAAEAIAAAACIAAABkcnMvZG93bnJldi54bWxQSwECFAAUAAAA&#10;CACHTuJAGLN6Mu4BAAC9AwAADgAAAAAAAAABACAAAAAnAQAAZHJzL2Uyb0RvYy54bWxQSwUGAAAA&#10;AAYABgBZAQAAhwUAAAAA&#10;">
                      <v:fill on="f" focussize="0,0"/>
                      <v:stroke color="#000000" joinstyle="round"/>
                      <v:imagedata o:title=""/>
                      <o:lock v:ext="edit" aspectratio="f"/>
                    </v:line>
                  </w:pict>
                </mc:Fallback>
              </mc:AlternateContent>
            </w:r>
            <w:r>
              <w:rPr>
                <w:rFonts w:hint="eastAsia" w:ascii="宋体" w:hAnsi="宋体"/>
                <w:color w:val="000000"/>
                <w:szCs w:val="21"/>
              </w:rPr>
              <w:t>级别</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8480" behindDoc="0" locked="0" layoutInCell="1" allowOverlap="1">
                      <wp:simplePos x="0" y="0"/>
                      <wp:positionH relativeFrom="column">
                        <wp:posOffset>1043940</wp:posOffset>
                      </wp:positionH>
                      <wp:positionV relativeFrom="paragraph">
                        <wp:posOffset>15875</wp:posOffset>
                      </wp:positionV>
                      <wp:extent cx="79375" cy="7937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79375" cy="79375"/>
                              </a:xfrm>
                              <a:prstGeom prst="rect">
                                <a:avLst/>
                              </a:prstGeom>
                              <a:noFill/>
                              <a:ln>
                                <a:noFill/>
                              </a:ln>
                              <a:effectLst/>
                            </wps:spPr>
                            <wps:txbx>
                              <w:txbxContent>
                                <w:p>
                                  <w:pPr>
                                    <w:snapToGrid w:val="0"/>
                                    <w:ind w:firstLine="48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2.2pt;margin-top:1.25pt;height:6.25pt;width:6.25pt;z-index:251668480;mso-width-relative:page;mso-height-relative:page;" filled="f" stroked="f" coordsize="21600,21600" o:gfxdata="UEsDBAoAAAAAAIdO4kAAAAAAAAAAAAAAAAAEAAAAZHJzL1BLAwQUAAAACACHTuJAU2TmmdcAAAAI&#10;AQAADwAAAGRycy9kb3ducmV2LnhtbE2PzU7DMBCE70i8g7VI3Kjdqg00xKkQghMSIg0Hjk68TazG&#10;6xC7P7w92xPcdjSj2W+KzdkP4ohTdIE0zGcKBFIbrKNOw2f9evcAIiZD1gyBUMMPRtiU11eFyW04&#10;UYXHbeoEl1DMjYY+pTGXMrY9ehNnYURibxcmbxLLqZN2Micu94NcKJVJbxzxh96M+Nxju98evIan&#10;L6pe3Pd781HtKlfXa0Vv2V7r25u5egSR8Jz+wnDBZ3QomakJB7JRDKyz5ZKjGhYrEBf/PluDaPhY&#10;KZBlIf8PKH8BUEsDBBQAAAAIAIdO4kD5rawOCwIAABAEAAAOAAAAZHJzL2Uyb0RvYy54bWytU81u&#10;EzEQviPxDpbvZJMiaFllU5VGRUjlRyo8gOP1Zi3WHjN2shseAN6gJy7cea48B2N7k5Zy6YHLanY8&#10;83m+bz7PzwfTsa1Cr8FWfDaZcqashFrbdcU/f7p6dsaZD8LWogOrKr5Tnp8vnj6Z965UJ9BCVytk&#10;BGJ92buKtyG4sii8bJURfgJOWTpsAI0I9IvrokbRE7rpipPp9GXRA9YOQSrvKbvMh3xExMcAQtNo&#10;qZYgN0bZkFFRdSIQJd9q5/kiTds0SoYPTeNVYF3FiWlIX7qE4lX8Fou5KNcoXKvlOIJ4zAgPOBmh&#10;LV16hFqKINgG9T9QRksED02YSDBFJpIUIRaz6QNtblrhVOJCUnt3FN3/P1j5fvsRma4rTmu3wtDC&#10;97c/9j9/7399Z2dRnt75kqpuHNWF4TUMZJpE1btrkF88s3DZCrtWF4jQt0rUNN4sdhb3WjOOjyCr&#10;/h3UdI/YBEhAQ4MmakdqMEKn1eyOq1FDYJKSp6+en77gTNJJDiO+KA+tDn14o8CwGFQcae8JWmyv&#10;fcilh5J4k4Ur3XWUF2Vn/0oQZs6oZJ6xOxKJs2cWYVgN1BuTK6h3RAkhG4ueFQUt4DfOejJVxf3X&#10;jUDFWffWkizRgYcAD8HqEAgrqbXigbMcXobs1I1DvW4JOQtv4YKka3QidjfFKDgZJUkzmjo68f5/&#10;qrp7yI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2TmmdcAAAAIAQAADwAAAAAAAAABACAAAAAi&#10;AAAAZHJzL2Rvd25yZXYueG1sUEsBAhQAFAAAAAgAh07iQPmtrA4LAgAAEAQAAA4AAAAAAAAAAQAg&#10;AAAAJgEAAGRycy9lMm9Eb2MueG1sUEsFBgAAAAAGAAYAWQEAAKMFAAAAAA==&#10;">
                      <v:fill on="f" focussize="0,0"/>
                      <v:stroke on="f"/>
                      <v:imagedata o:title=""/>
                      <o:lock v:ext="edit" aspectratio="f"/>
                      <v:textbox inset="0mm,0mm,0mm,0mm">
                        <w:txbxContent>
                          <w:p>
                            <w:pPr>
                              <w:snapToGrid w:val="0"/>
                              <w:ind w:firstLine="480"/>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参与情况</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国家级</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210" w:firstLineChars="100"/>
              <w:jc w:val="left"/>
              <w:rPr>
                <w:rFonts w:ascii="宋体" w:hAnsi="宋体"/>
                <w:color w:val="000000"/>
                <w:szCs w:val="21"/>
              </w:rPr>
            </w:pPr>
            <w:r>
              <w:rPr>
                <w:rFonts w:hint="eastAsia" w:ascii="宋体" w:hAnsi="宋体"/>
                <w:color w:val="000000"/>
                <w:szCs w:val="21"/>
              </w:rPr>
              <w:t>省部级</w:t>
            </w:r>
          </w:p>
          <w:p>
            <w:pPr>
              <w:keepNext w:val="0"/>
              <w:keepLines w:val="0"/>
              <w:pageBreakBefore w:val="0"/>
              <w:widowControl w:val="0"/>
              <w:kinsoku/>
              <w:wordWrap/>
              <w:overflowPunct/>
              <w:topLinePunct w:val="0"/>
              <w:autoSpaceDE/>
              <w:autoSpaceDN/>
              <w:bidi w:val="0"/>
              <w:adjustRightInd/>
              <w:snapToGrid/>
              <w:spacing w:line="520" w:lineRule="exact"/>
              <w:jc w:val="left"/>
              <w:rPr>
                <w:rFonts w:ascii="宋体" w:hAnsi="宋体"/>
                <w:color w:val="000000"/>
                <w:szCs w:val="21"/>
              </w:rPr>
            </w:pPr>
            <w:r>
              <w:rPr>
                <w:rFonts w:hint="eastAsia" w:ascii="宋体" w:hAnsi="宋体"/>
                <w:color w:val="000000"/>
                <w:szCs w:val="21"/>
              </w:rPr>
              <w:t>（含直辖市）</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市级</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shd w:val="pct10" w:color="auto" w:fill="FFFFFF"/>
              </w:rPr>
            </w:pPr>
            <w:r>
              <w:rPr>
                <w:rFonts w:hint="eastAsia" w:ascii="宋体" w:hAnsi="宋体"/>
                <w:color w:val="000000"/>
                <w:szCs w:val="21"/>
              </w:rPr>
              <w:t>校级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主持人</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rFonts w:hint="eastAsia"/>
                <w:color w:val="000000"/>
                <w:szCs w:val="21"/>
              </w:rPr>
              <w:t>50</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40</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rFonts w:hint="eastAsia"/>
                <w:color w:val="000000"/>
                <w:szCs w:val="21"/>
              </w:rPr>
              <w:t>30</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shd w:val="pct10" w:color="auto" w:fill="FFFFFF"/>
              </w:rPr>
            </w:pPr>
            <w:r>
              <w:rPr>
                <w:rFonts w:hint="eastAsia"/>
                <w:color w:val="000000"/>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参与人</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rFonts w:hint="eastAsia"/>
                <w:color w:val="000000"/>
                <w:szCs w:val="21"/>
              </w:rPr>
              <w:t>30</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rFonts w:hint="eastAsia"/>
                <w:color w:val="000000"/>
                <w:szCs w:val="21"/>
              </w:rPr>
              <w:t>20</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10</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shd w:val="pct10" w:color="auto" w:fill="FFFFFF"/>
              </w:rPr>
            </w:pPr>
            <w:r>
              <w:rPr>
                <w:rFonts w:hint="eastAsia"/>
                <w:color w:val="000000"/>
                <w:szCs w:val="21"/>
              </w:rPr>
              <w:t>5</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left"/>
        <w:rPr>
          <w:rFonts w:ascii="宋体" w:hAnsi="宋体"/>
          <w:color w:val="000000"/>
          <w:sz w:val="24"/>
          <w:szCs w:val="24"/>
        </w:rPr>
        <w:sectPr>
          <w:footerReference r:id="rId4" w:type="default"/>
          <w:pgSz w:w="12240" w:h="15840"/>
          <w:pgMar w:top="1440" w:right="1083" w:bottom="1440" w:left="1083" w:header="709" w:footer="992" w:gutter="0"/>
          <w:cols w:space="720" w:num="1"/>
          <w:docGrid w:type="lines" w:linePitch="360" w:charSpace="0"/>
        </w:sectPr>
      </w:pPr>
    </w:p>
    <w:p>
      <w:pPr>
        <w:keepNext w:val="0"/>
        <w:keepLines w:val="0"/>
        <w:pageBreakBefore w:val="0"/>
        <w:widowControl w:val="0"/>
        <w:kinsoku/>
        <w:wordWrap/>
        <w:overflowPunct/>
        <w:topLinePunct w:val="0"/>
        <w:autoSpaceDE/>
        <w:autoSpaceDN/>
        <w:bidi w:val="0"/>
        <w:adjustRightInd/>
        <w:snapToGrid/>
        <w:spacing w:line="520" w:lineRule="exact"/>
        <w:jc w:val="left"/>
        <w:rPr>
          <w:rFonts w:ascii="宋体" w:hAnsi="宋体"/>
          <w:color w:val="000000"/>
          <w:sz w:val="24"/>
          <w:szCs w:val="24"/>
        </w:rPr>
      </w:pPr>
      <w:r>
        <w:rPr>
          <w:rFonts w:hint="eastAsia" w:ascii="宋体" w:hAnsi="宋体"/>
          <w:color w:val="000000"/>
          <w:sz w:val="24"/>
          <w:szCs w:val="24"/>
        </w:rPr>
        <w:t>附件二：</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rPr>
          <w:rFonts w:ascii="宋体" w:hAnsi="宋体"/>
          <w:b/>
          <w:color w:val="000000"/>
          <w:sz w:val="24"/>
          <w:szCs w:val="24"/>
        </w:rPr>
      </w:pPr>
      <w:r>
        <w:rPr>
          <w:rFonts w:hint="eastAsia" w:ascii="宋体" w:hAnsi="宋体"/>
          <w:b/>
          <w:color w:val="000000"/>
          <w:sz w:val="24"/>
          <w:szCs w:val="24"/>
        </w:rPr>
        <w:t>学术之星人文社科类初评标准</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rPr>
          <w:rFonts w:ascii="宋体" w:hAnsi="宋体"/>
          <w:b/>
          <w:color w:val="000000"/>
          <w:sz w:val="24"/>
          <w:szCs w:val="24"/>
        </w:rPr>
      </w:pPr>
      <w:r>
        <w:rPr>
          <w:rFonts w:hint="eastAsia" w:ascii="宋体" w:hAnsi="宋体"/>
          <w:b/>
          <w:color w:val="000000"/>
          <w:sz w:val="24"/>
          <w:szCs w:val="24"/>
        </w:rPr>
        <w:t>一、</w:t>
      </w:r>
      <w:r>
        <w:rPr>
          <w:rFonts w:ascii="宋体" w:hAnsi="宋体"/>
          <w:b/>
          <w:color w:val="000000"/>
          <w:sz w:val="24"/>
          <w:szCs w:val="24"/>
        </w:rPr>
        <w:t>学术论文及著作情况（占总分值的</w:t>
      </w:r>
      <w:r>
        <w:rPr>
          <w:rFonts w:hint="eastAsia" w:ascii="宋体" w:hAnsi="宋体"/>
          <w:b/>
          <w:color w:val="000000"/>
          <w:sz w:val="24"/>
          <w:szCs w:val="24"/>
        </w:rPr>
        <w:t>50</w:t>
      </w:r>
      <w:r>
        <w:rPr>
          <w:rFonts w:ascii="宋体" w:hAnsi="宋体"/>
          <w:b/>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1.同一篇论文若被期刊或者会议论文集收录，以最高级别加分，不累加；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2.不同级别的不同论文按篇数累计加分；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3.中文核心期刊是指《中国科学引文数据库》（CSCD，http://sdb.csdl.ac.cn/forbid.jsp）、《中文社会科学引文索引数据库》（CSSCI，</w:t>
      </w:r>
      <w:r>
        <w:fldChar w:fldCharType="begin"/>
      </w:r>
      <w:r>
        <w:instrText xml:space="preserve"> HYPERLINK "http://cssci.nju.edu.cn/cssci_qk.htm" </w:instrText>
      </w:r>
      <w:r>
        <w:fldChar w:fldCharType="separate"/>
      </w:r>
      <w:r>
        <w:rPr>
          <w:rFonts w:ascii="宋体" w:hAnsi="宋体"/>
          <w:color w:val="000000"/>
          <w:sz w:val="24"/>
          <w:szCs w:val="24"/>
        </w:rPr>
        <w:t>http://cssci.nju.edu.cn/cssci_qk.htm</w:t>
      </w:r>
      <w:r>
        <w:rPr>
          <w:rFonts w:ascii="宋体" w:hAnsi="宋体"/>
          <w:color w:val="000000"/>
          <w:sz w:val="24"/>
          <w:szCs w:val="24"/>
        </w:rPr>
        <w:fldChar w:fldCharType="end"/>
      </w:r>
      <w:r>
        <w:rPr>
          <w:rFonts w:ascii="宋体" w:hAnsi="宋体"/>
          <w:color w:val="000000"/>
          <w:sz w:val="24"/>
          <w:szCs w:val="24"/>
        </w:rPr>
        <w:t>）及各学科研究生发表学术论文要求中指定的学科中文核心学术期刊；</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4.被SCI等四大索引收录的论文在表</w:t>
      </w:r>
      <w:r>
        <w:rPr>
          <w:rFonts w:hint="eastAsia" w:ascii="宋体" w:hAnsi="宋体"/>
          <w:color w:val="000000"/>
          <w:sz w:val="24"/>
          <w:szCs w:val="24"/>
        </w:rPr>
        <w:t>1</w:t>
      </w:r>
      <w:r>
        <w:rPr>
          <w:rFonts w:ascii="宋体" w:hAnsi="宋体"/>
          <w:color w:val="000000"/>
          <w:sz w:val="24"/>
          <w:szCs w:val="24"/>
        </w:rPr>
        <w:t>计分的基础上，再按表</w:t>
      </w:r>
      <w:r>
        <w:rPr>
          <w:rFonts w:hint="eastAsia" w:ascii="宋体" w:hAnsi="宋体"/>
          <w:color w:val="000000"/>
          <w:sz w:val="24"/>
          <w:szCs w:val="24"/>
        </w:rPr>
        <w:t>2</w:t>
      </w:r>
      <w:r>
        <w:rPr>
          <w:rFonts w:ascii="宋体" w:hAnsi="宋体"/>
          <w:color w:val="000000"/>
          <w:sz w:val="24"/>
          <w:szCs w:val="24"/>
        </w:rPr>
        <w:t>加分；同时被多次索引的只按最高分值计分，若没有证明材料且在网络中索引不到者，不加索引分；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6.参加编著学术著作及参加翻译学术著作的字数以著作主编提供的数据为准。著作是指正式出版的与研究生所在学科相关的学术专著、大学以上教材、译著等。国际刊物是指境外正式出版的外文刊物；</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7.学校各培养单位自编、自发出版的刊物录用的论文不予加分；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8.在学术会议上宣读论文的必须有录入该文的大会议程和论文集；收入论文集的必须有大会论文集中该文章的复印件，否则不予加分，同时需准备论文集原件备查；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9.同一篇论文在不同的国际、国内学术会议上宣读或收录，均计最高分，不累加；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ascii="宋体" w:hAnsi="宋体"/>
          <w:color w:val="000000"/>
          <w:sz w:val="24"/>
          <w:szCs w:val="24"/>
        </w:rPr>
        <w:t>10.论文第一完成人及本人单位必须是北京林业大学。</w:t>
      </w:r>
    </w:p>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 w:val="24"/>
          <w:szCs w:val="24"/>
        </w:rPr>
      </w:pPr>
      <w:r>
        <w:rPr>
          <w:rFonts w:ascii="宋体" w:hAnsi="宋体"/>
          <w:color w:val="000000"/>
          <w:sz w:val="24"/>
          <w:szCs w:val="24"/>
        </w:rPr>
        <w:t>表</w:t>
      </w:r>
      <w:r>
        <w:rPr>
          <w:rFonts w:hint="eastAsia" w:ascii="宋体" w:hAnsi="宋体"/>
          <w:color w:val="000000"/>
          <w:sz w:val="24"/>
          <w:szCs w:val="24"/>
        </w:rPr>
        <w:t>1 人文社科类</w:t>
      </w:r>
      <w:r>
        <w:rPr>
          <w:rFonts w:ascii="宋体" w:hAnsi="宋体"/>
          <w:color w:val="000000"/>
          <w:sz w:val="24"/>
          <w:szCs w:val="24"/>
        </w:rPr>
        <w:t>研究生论文被索引计分表</w:t>
      </w:r>
    </w:p>
    <w:tbl>
      <w:tblPr>
        <w:tblStyle w:val="4"/>
        <w:tblpPr w:leftFromText="180" w:rightFromText="180" w:vertAnchor="text" w:horzAnchor="margin" w:tblpXSpec="center" w:tblpY="115"/>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1275"/>
        <w:gridCol w:w="1418"/>
        <w:gridCol w:w="1276"/>
        <w:gridCol w:w="1275"/>
        <w:gridCol w:w="1134"/>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2689" w:type="dxa"/>
            <w:vMerge w:val="restart"/>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r>
              <w:rPr>
                <w:color w:val="000000"/>
                <w:szCs w:val="21"/>
              </w:rPr>
              <mc:AlternateContent>
                <mc:Choice Requires="wps">
                  <w:drawing>
                    <wp:anchor distT="0" distB="0" distL="114300" distR="114300" simplePos="0" relativeHeight="251681792" behindDoc="0" locked="0" layoutInCell="1" allowOverlap="1">
                      <wp:simplePos x="0" y="0"/>
                      <wp:positionH relativeFrom="column">
                        <wp:posOffset>-53975</wp:posOffset>
                      </wp:positionH>
                      <wp:positionV relativeFrom="paragraph">
                        <wp:posOffset>22860</wp:posOffset>
                      </wp:positionV>
                      <wp:extent cx="1647190" cy="875030"/>
                      <wp:effectExtent l="0" t="0" r="10160" b="1270"/>
                      <wp:wrapNone/>
                      <wp:docPr id="7"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1647190" cy="875030"/>
                              </a:xfrm>
                              <a:prstGeom prst="line">
                                <a:avLst/>
                              </a:prstGeom>
                              <a:noFill/>
                              <a:ln w="9525">
                                <a:solidFill>
                                  <a:srgbClr val="000000"/>
                                </a:solidFill>
                                <a:round/>
                              </a:ln>
                              <a:effectLst/>
                            </wps:spPr>
                            <wps:bodyPr/>
                          </wps:wsp>
                        </a:graphicData>
                      </a:graphic>
                    </wp:anchor>
                  </w:drawing>
                </mc:Choice>
                <mc:Fallback>
                  <w:pict>
                    <v:line id="直接连接符 14" o:spid="_x0000_s1026" o:spt="20" style="position:absolute;left:0pt;margin-left:-4.25pt;margin-top:1.8pt;height:68.9pt;width:129.7pt;z-index:251681792;mso-width-relative:page;mso-height-relative:page;" filled="f" stroked="t" coordsize="21600,21600" o:gfxdata="UEsDBAoAAAAAAIdO4kAAAAAAAAAAAAAAAAAEAAAAZHJzL1BLAwQUAAAACACHTuJACy7ILdcAAAAI&#10;AQAADwAAAGRycy9kb3ducmV2LnhtbE2Py07DMBBF90j8gzVIbKrWTvpQCXG6ALJjQwGxnSZDEhGP&#10;09h9wNczrMpydI/uPZNvzq5XRxpD59lCMjOgiCtfd9xYeHstp2tQISLX2HsmC98UYFNcX+WY1f7E&#10;L3TcxkZJCYcMLbQxDpnWoWrJYZj5gViyTz86jHKOja5HPEm563VqzEo77FgWWhzooaXqa3twFkL5&#10;TvvyZ1JNzMe88ZTuH5+f0Nrbm8Tcg4p0jhcY/vRFHQpx2vkD10H1FqbrpZAW5itQEqdLcwdqJ9wi&#10;WYAucv3/geIXUEsDBBQAAAAIAIdO4kASxdsV8QEAAL4DAAAOAAAAZHJzL2Uyb0RvYy54bWytU8Fy&#10;0zAQvTPDP2h0J7ZD07SeOD0kUy4FMtPyAYosxxokrUZSYucn+AFmuMGJY+/8DeUzWMlJKOXSAz5o&#10;tNrdt/vermdXvVZkJ5yXYCpajHJKhOFQS7Op6Ie761cXlPjATM0UGFHRvfD0av7yxayzpRhDC6oW&#10;jiCI8WVnK9qGYMss87wVmvkRWGHQ2YDTLKDpNlntWIfoWmXjPD/POnC1dcCF9/i6HJz0gOieAwhN&#10;I7lYAt9qYcKA6oRiASn5VlpP56nbphE8vG8aLwJRFUWmIZ1YBO/reGbzGSs3jtlW8kML7DktPOGk&#10;mTRY9AS1ZIGRrZP/QGnJHXhowoiDzgYiSRFkUeRPtLltmRWJC0rt7Ul0//9g+bvdyhFZV3RKiWEa&#10;B/7w+f7np6+/fnzB8+H7N1KcRZU660sMXpiVizx5b27tDfCPnhhYtMxsROr2bm8RoogZ2V8p0fAW&#10;a627t1BjDNsGSJL1jdMREsUgfZrM/jQZ0QfC8bE4P5sWlzg0jr6L6SR/nUaXsfKYbZ0PbwRoEi8V&#10;VdJE5VjJdjc+xG5YeQyJzwaupVJp+sqQrqKXk/EkJXhQso7OGObdZr1QjuxY3J/0JWroeRzmYGvq&#10;oYgyMU+k1TtUPlIfRFxDvV+5oz441tTbYQXj3jy2k4p/frv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suyC3XAAAACAEAAA8AAAAAAAAAAQAgAAAAIgAAAGRycy9kb3ducmV2LnhtbFBLAQIUABQA&#10;AAAIAIdO4kASxdsV8QEAAL4DAAAOAAAAAAAAAAEAIAAAACYBAABkcnMvZTJvRG9jLnhtbFBLBQYA&#10;AAAABgAGAFkBAACJBQAAAAA=&#10;">
                      <v:fill on="f" focussize="0,0"/>
                      <v:stroke color="#000000" joinstyle="round"/>
                      <v:imagedata o:title=""/>
                      <o:lock v:ext="edit" aspectratio="f"/>
                    </v:line>
                  </w:pict>
                </mc:Fallback>
              </mc:AlternateContent>
            </w:r>
            <w:r>
              <w:rPr>
                <w:rFonts w:hAnsi="宋体"/>
                <w:color w:val="000000"/>
                <w:szCs w:val="21"/>
              </w:rPr>
              <w:t>检索种类</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p>
          <w:p>
            <w:pPr>
              <w:keepNext w:val="0"/>
              <w:keepLines w:val="0"/>
              <w:pageBreakBefore w:val="0"/>
              <w:widowControl w:val="0"/>
              <w:kinsoku/>
              <w:wordWrap/>
              <w:overflowPunct/>
              <w:topLinePunct w:val="0"/>
              <w:autoSpaceDE/>
              <w:autoSpaceDN/>
              <w:bidi w:val="0"/>
              <w:adjustRightInd/>
              <w:snapToGrid/>
              <w:spacing w:line="520" w:lineRule="exact"/>
              <w:ind w:firstLine="210" w:firstLineChars="100"/>
              <w:rPr>
                <w:color w:val="000000"/>
                <w:szCs w:val="21"/>
              </w:rPr>
            </w:pPr>
            <w:r>
              <w:rPr>
                <w:rFonts w:hAnsi="宋体"/>
                <w:color w:val="000000"/>
                <w:szCs w:val="21"/>
              </w:rPr>
              <w:t>作者顺序</w:t>
            </w:r>
          </w:p>
        </w:tc>
        <w:tc>
          <w:tcPr>
            <w:tcW w:w="5244"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SCI</w:t>
            </w:r>
            <w:r>
              <w:rPr>
                <w:rFonts w:hAnsi="宋体"/>
                <w:color w:val="000000"/>
                <w:szCs w:val="21"/>
              </w:rPr>
              <w:t>、</w:t>
            </w:r>
            <w:r>
              <w:rPr>
                <w:color w:val="000000"/>
                <w:szCs w:val="21"/>
              </w:rPr>
              <w:t>SSCI</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EI</w:t>
            </w:r>
          </w:p>
        </w:tc>
        <w:tc>
          <w:tcPr>
            <w:tcW w:w="1140" w:type="dxa"/>
            <w:vMerge w:val="restart"/>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ISTP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2689"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color w:val="000000"/>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JCR一区</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JCR二区</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JCR三区</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JCR四区</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rPr>
                <w:color w:val="000000"/>
                <w:szCs w:val="21"/>
              </w:rPr>
            </w:pPr>
          </w:p>
        </w:tc>
        <w:tc>
          <w:tcPr>
            <w:tcW w:w="1140"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68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1</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50</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rFonts w:hint="eastAsia"/>
                <w:color w:val="000000"/>
                <w:szCs w:val="21"/>
              </w:rPr>
              <w:t>40</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rFonts w:hint="eastAsia"/>
                <w:color w:val="000000"/>
                <w:szCs w:val="21"/>
              </w:rPr>
              <w:t>35</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30</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20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68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2</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40</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30</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rFonts w:hint="eastAsia"/>
                <w:color w:val="000000"/>
                <w:szCs w:val="21"/>
              </w:rPr>
              <w:t>25</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20</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10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68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rFonts w:hAnsi="宋体"/>
                <w:color w:val="000000"/>
                <w:szCs w:val="21"/>
              </w:rPr>
              <w:t>其它</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20</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15</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10</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rFonts w:hint="eastAsia"/>
                <w:color w:val="000000"/>
                <w:szCs w:val="21"/>
              </w:rPr>
              <w:t>8</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5</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color w:val="000000"/>
                <w:szCs w:val="21"/>
              </w:rPr>
            </w:pPr>
            <w:r>
              <w:rPr>
                <w:color w:val="000000"/>
                <w:szCs w:val="21"/>
              </w:rPr>
              <w:t>2</w:t>
            </w:r>
          </w:p>
        </w:tc>
      </w:tr>
    </w:tbl>
    <w:p>
      <w:pPr>
        <w:keepNext w:val="0"/>
        <w:keepLines w:val="0"/>
        <w:pageBreakBefore w:val="0"/>
        <w:widowControl w:val="0"/>
        <w:kinsoku/>
        <w:wordWrap/>
        <w:overflowPunct/>
        <w:topLinePunct w:val="0"/>
        <w:autoSpaceDE/>
        <w:autoSpaceDN/>
        <w:bidi w:val="0"/>
        <w:adjustRightInd/>
        <w:snapToGrid/>
        <w:spacing w:line="520" w:lineRule="exact"/>
        <w:jc w:val="left"/>
        <w:rPr>
          <w:rFonts w:ascii="宋体" w:hAnsi="宋体"/>
          <w:color w:val="000000"/>
          <w:sz w:val="24"/>
          <w:szCs w:val="24"/>
        </w:rPr>
      </w:pPr>
    </w:p>
    <w:tbl>
      <w:tblPr>
        <w:tblStyle w:val="4"/>
        <w:tblpPr w:leftFromText="180" w:rightFromText="180" w:vertAnchor="text" w:horzAnchor="margin" w:tblpXSpec="center" w:tblpY="675"/>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993"/>
        <w:gridCol w:w="1275"/>
        <w:gridCol w:w="1560"/>
        <w:gridCol w:w="1559"/>
        <w:gridCol w:w="15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18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w:t xml:space="preserve"> 刊物</w:t>
            </w:r>
            <w:r>
              <w:rPr>
                <w:rFonts w:ascii="宋体" w:hAnsi="宋体"/>
                <w:color w:val="000000"/>
                <w:szCs w:val="21"/>
              </w:rPr>
              <mc:AlternateContent>
                <mc:Choice Requires="wps">
                  <w:drawing>
                    <wp:anchor distT="0" distB="0" distL="114300" distR="114300" simplePos="0" relativeHeight="251671552" behindDoc="0" locked="0" layoutInCell="1" allowOverlap="1">
                      <wp:simplePos x="0" y="0"/>
                      <wp:positionH relativeFrom="column">
                        <wp:posOffset>1043940</wp:posOffset>
                      </wp:positionH>
                      <wp:positionV relativeFrom="paragraph">
                        <wp:posOffset>15875</wp:posOffset>
                      </wp:positionV>
                      <wp:extent cx="79375" cy="7937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79375" cy="79375"/>
                              </a:xfrm>
                              <a:prstGeom prst="rect">
                                <a:avLst/>
                              </a:prstGeom>
                              <a:noFill/>
                              <a:ln>
                                <a:noFill/>
                              </a:ln>
                              <a:effectLst/>
                            </wps:spPr>
                            <wps:txbx>
                              <w:txbxContent>
                                <w:p>
                                  <w:pPr>
                                    <w:snapToGrid w:val="0"/>
                                    <w:ind w:firstLine="48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2.2pt;margin-top:1.25pt;height:6.25pt;width:6.25pt;z-index:251671552;mso-width-relative:page;mso-height-relative:page;" filled="f" stroked="f" coordsize="21600,21600" o:gfxdata="UEsDBAoAAAAAAIdO4kAAAAAAAAAAAAAAAAAEAAAAZHJzL1BLAwQUAAAACACHTuJAU2TmmdcAAAAI&#10;AQAADwAAAGRycy9kb3ducmV2LnhtbE2PzU7DMBCE70i8g7VI3Kjdqg00xKkQghMSIg0Hjk68TazG&#10;6xC7P7w92xPcdjSj2W+KzdkP4ohTdIE0zGcKBFIbrKNOw2f9evcAIiZD1gyBUMMPRtiU11eFyW04&#10;UYXHbeoEl1DMjYY+pTGXMrY9ehNnYURibxcmbxLLqZN2Micu94NcKJVJbxzxh96M+Nxju98evIan&#10;L6pe3Pd781HtKlfXa0Vv2V7r25u5egSR8Jz+wnDBZ3QomakJB7JRDKyz5ZKjGhYrEBf/PluDaPhY&#10;KZBlIf8PKH8BUEsDBBQAAAAIAIdO4kCFW1jwCwIAABAEAAAOAAAAZHJzL2Uyb0RvYy54bWytU81u&#10;EzEQviPxDpbvZJOiUlhlU5VGRUjlRyo8gOP1Zi3WHjN2shseAN6gJy7cea48B2N7k5Zy6YGLNR7P&#10;fJ7v8+f5+WA6tlXoNdiKzyZTzpSVUGu7rvjnT1fPXnLmg7C16MCqiu+U5+eLp0/mvSvVCbTQ1QoZ&#10;gVhf9q7ibQiuLAovW2WEn4BTlg4bQCMCbXFd1Ch6QjddcTKdvih6wNohSOU9ZZf5kI+I+BhAaBot&#10;1RLkxigbMiqqTgSi5FvtPF+kaZtGyfChabwKrKs4MQ1ppUsoXsW1WMxFuUbhWi3HEcRjRnjAyQht&#10;6dIj1FIEwTao/4EyWiJ4aMJEgikykaQIsZhNH2hz0wqnEheS2ruj6P7/wcr324/IdF3xU86sMPTg&#10;+9sf+5+/97++s9MoT+98SVU3jurC8BoGMk2i6t01yC+eWbhshV2rC0ToWyVqGm8WO4t7rRnHR5BV&#10;/w5qukdsAiSgoUETtSM1GKHT0+yOT6OGwCQlz149P6MJJZ3kMOKL8tDq0Ic3CgyLQcWR3j1Bi+21&#10;D7n0UBJvsnClu47youzsXwnCzBmVzDN2RyJx9swiDKuBemNyBfWOKCFkY9G3oqAF/MZZT6aquP+6&#10;Eag4695akiU68BDgIVgdAmEltVY8cJbDy5CdunGo1y0hZ+EtXJB0jU7E7qYYBSejJGlGU0cn3t+n&#10;qruPvPg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2TmmdcAAAAIAQAADwAAAAAAAAABACAAAAAi&#10;AAAAZHJzL2Rvd25yZXYueG1sUEsBAhQAFAAAAAgAh07iQIVbWPALAgAAEAQAAA4AAAAAAAAAAQAg&#10;AAAAJgEAAGRycy9lMm9Eb2MueG1sUEsFBgAAAAAGAAYAWQEAAKMFAAAAAA==&#10;">
                      <v:fill on="f" focussize="0,0"/>
                      <v:stroke on="f"/>
                      <v:imagedata o:title=""/>
                      <o:lock v:ext="edit" aspectratio="f"/>
                      <v:textbox inset="0mm,0mm,0mm,0mm">
                        <w:txbxContent>
                          <w:p>
                            <w:pPr>
                              <w:snapToGrid w:val="0"/>
                              <w:ind w:firstLine="480"/>
                            </w:pPr>
                          </w:p>
                        </w:txbxContent>
                      </v:textbox>
                    </v:shape>
                  </w:pict>
                </mc:Fallback>
              </mc:AlternateContent>
            </w:r>
            <w:r>
              <w:rPr>
                <w:rFonts w:ascii="宋体" w:hAnsi="宋体"/>
                <w:color w:val="000000"/>
                <w:szCs w:val="21"/>
              </w:rPr>
              <w:t>类别</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w:t xml:space="preserve">作者顺序     </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著作</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rPr>
                <w:rFonts w:ascii="宋体" w:hAnsi="宋体"/>
                <w:color w:val="000000"/>
                <w:szCs w:val="21"/>
              </w:rPr>
            </w:pPr>
            <w:r>
              <w:rPr>
                <w:rFonts w:ascii="宋体" w:hAnsi="宋体"/>
                <w:color w:val="000000"/>
                <w:szCs w:val="21"/>
              </w:rPr>
              <w:t>国际刊物</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中文</w:t>
            </w:r>
          </w:p>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核心期刊</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国际</w:t>
            </w:r>
          </w:p>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会议论文</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rPr>
                <w:rFonts w:ascii="宋体" w:hAnsi="宋体"/>
                <w:color w:val="000000"/>
                <w:szCs w:val="21"/>
              </w:rPr>
            </w:pPr>
            <w:r>
              <w:rPr>
                <w:rFonts w:ascii="宋体" w:hAnsi="宋体"/>
                <w:color w:val="000000"/>
                <w:szCs w:val="21"/>
              </w:rPr>
              <w:t>国内</w:t>
            </w:r>
          </w:p>
          <w:p>
            <w:pPr>
              <w:keepNext w:val="0"/>
              <w:keepLines w:val="0"/>
              <w:pageBreakBefore w:val="0"/>
              <w:widowControl w:val="0"/>
              <w:kinsoku/>
              <w:wordWrap/>
              <w:overflowPunct/>
              <w:topLinePunct w:val="0"/>
              <w:autoSpaceDE/>
              <w:autoSpaceDN/>
              <w:bidi w:val="0"/>
              <w:adjustRightInd/>
              <w:snapToGrid/>
              <w:spacing w:line="520" w:lineRule="exact"/>
              <w:jc w:val="center"/>
              <w:rPr>
                <w:rFonts w:ascii="宋体" w:hAnsi="宋体"/>
                <w:color w:val="000000"/>
                <w:szCs w:val="21"/>
              </w:rPr>
            </w:pPr>
            <w:r>
              <w:rPr>
                <w:rFonts w:ascii="宋体" w:hAnsi="宋体"/>
                <w:color w:val="000000"/>
                <w:szCs w:val="21"/>
              </w:rPr>
              <w:t>会议论文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w:t>1</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50</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25</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rPr>
                <w:color w:val="000000"/>
                <w:szCs w:val="21"/>
              </w:rPr>
            </w:pPr>
            <w:r>
              <w:rPr>
                <w:color w:val="000000"/>
                <w:szCs w:val="21"/>
              </w:rPr>
              <w:t>15</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10</w:t>
            </w:r>
          </w:p>
        </w:tc>
        <w:tc>
          <w:tcPr>
            <w:tcW w:w="15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w:t>2</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30</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15</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rPr>
                <w:color w:val="000000"/>
                <w:szCs w:val="21"/>
              </w:rPr>
            </w:pPr>
            <w:r>
              <w:rPr>
                <w:color w:val="000000"/>
                <w:szCs w:val="21"/>
              </w:rPr>
              <w:t>10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5</w:t>
            </w:r>
          </w:p>
        </w:tc>
        <w:tc>
          <w:tcPr>
            <w:tcW w:w="15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w:t>其他</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10</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rFonts w:hint="eastAsia"/>
                <w:color w:val="000000"/>
                <w:szCs w:val="21"/>
              </w:rPr>
              <w:t>8</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rPr>
                <w:color w:val="000000"/>
                <w:szCs w:val="21"/>
              </w:rPr>
            </w:pPr>
            <w:r>
              <w:rPr>
                <w:color w:val="000000"/>
                <w:szCs w:val="21"/>
              </w:rPr>
              <w:t>5</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0</w:t>
            </w:r>
          </w:p>
        </w:tc>
        <w:tc>
          <w:tcPr>
            <w:tcW w:w="15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0</w:t>
            </w:r>
          </w:p>
        </w:tc>
      </w:tr>
    </w:tbl>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rPr>
          <w:rFonts w:ascii="宋体" w:hAnsi="宋体"/>
          <w:color w:val="000000"/>
          <w:sz w:val="24"/>
          <w:szCs w:val="24"/>
        </w:rPr>
      </w:pPr>
      <w:r>
        <w:rPr>
          <w:rFonts w:ascii="宋体" w:hAnsi="宋体"/>
          <w:color w:val="000000"/>
          <w:szCs w:val="21"/>
        </w:rPr>
        <mc:AlternateContent>
          <mc:Choice Requires="wps">
            <w:drawing>
              <wp:anchor distT="0" distB="0" distL="114300" distR="114300" simplePos="0" relativeHeight="251670528" behindDoc="0" locked="0" layoutInCell="1" allowOverlap="1">
                <wp:simplePos x="0" y="0"/>
                <wp:positionH relativeFrom="column">
                  <wp:posOffset>-152400</wp:posOffset>
                </wp:positionH>
                <wp:positionV relativeFrom="paragraph">
                  <wp:posOffset>436245</wp:posOffset>
                </wp:positionV>
                <wp:extent cx="1132205" cy="866775"/>
                <wp:effectExtent l="0" t="0" r="10795" b="952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1132205" cy="86677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2pt;margin-top:34.35pt;height:68.25pt;width:89.15pt;z-index:251670528;mso-width-relative:page;mso-height-relative:page;" filled="f" stroked="t" coordsize="21600,21600" o:gfxdata="UEsDBAoAAAAAAIdO4kAAAAAAAAAAAAAAAAAEAAAAZHJzL1BLAwQUAAAACACHTuJAhSwGr9kAAAAK&#10;AQAADwAAAGRycy9kb3ducmV2LnhtbE2PS0/DMBCE70j8B2uRuFStXfdBFbLpAcitFwqI6zZekojY&#10;TmP3Ab++7gmOoxnNfJOvz7YTRx5C6x3CdKJAsKu8aV2N8P5WjlcgQiRnqPOOEX44wLq4vckpM/7k&#10;Xvm4jbVIJS5khNDE2GdShqphS2Hie3bJ+/KDpZjkUEsz0CmV205qpZbSUuvSQkM9PzVcfW8PFiGU&#10;H7wvf0fVSH3Oas96/7x5IcT7u6l6BBH5HP/CcMVP6FAkpp0/OBNEhzDW8/QlIixXDyCugcV8BmKH&#10;oNVCgyxy+f9CcQFQSwMEFAAAAAgAh07iQGJdISTvAQAAvQMAAA4AAABkcnMvZTJvRG9jLnhtbK1T&#10;vY4TMRDukXgHyz3ZTVByxyqbKxIdzQGR7ngAx+vNWtgey+Nkk5fgBZDooKKk5204HoOx8wN3NFew&#10;heXxzHwz3zez06udNWyrAmpwNR8OSs6Uk9Bot675+7vrF5ecYRSuEQacqvleIb+aPX827X2lRtCB&#10;aVRgBOKw6n3Nuxh9VRQoO2UFDsArR84WghWRzLAumiB6QremGJXlpOghND6AVIj0ujg4+RExPAUQ&#10;2lZLtQC5scrFA2pQRkSihJ32yGe527ZVMr5rW1SRmZoT05hPKkL3VTqL2VRU6yB8p+WxBfGUFh5x&#10;skI7KnqGWogo2Cbof6CslgEQ2jiQYIsDkawIsRiWj7S57YRXmQtJjf4sOv4/WPl2uwxMNzWfcOaE&#10;pYHff/r+8+OXXz8+03n/7SubJJF6jxXFzt0yJJpy5279DcgPyBzMO+HWKjd7t/eEMEwZxYOUZKCn&#10;Uqv+DTQUIzYRsmK7NtgESVqwXR7M/jwYtYtM0uNw+HI0KsecSfJdTiYXF+NcQlSnbB8wvlZgWbrU&#10;3GiXhBOV2N5gTN2I6hSSnh1ca2Py8I1jfc1fjUfjnIBgdJOcKQzDejU3gW1FWp/8Hes+CAuwcc2h&#10;iHEpT+XNO1Y+UT+IuIJmvwwnfWiqubfjBqa1+dvOKv7562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UsBq/ZAAAACgEAAA8AAAAAAAAAAQAgAAAAIgAAAGRycy9kb3ducmV2LnhtbFBLAQIUABQA&#10;AAAIAIdO4kBiXSEk7wEAAL0DAAAOAAAAAAAAAAEAIAAAACgBAABkcnMvZTJvRG9jLnhtbFBLBQYA&#10;AAAABgAGAFkBAACJBQAAAAA=&#10;">
                <v:fill on="f" focussize="0,0"/>
                <v:stroke color="#000000" joinstyle="round"/>
                <v:imagedata o:title=""/>
                <o:lock v:ext="edit" aspectratio="f"/>
              </v:line>
            </w:pict>
          </mc:Fallback>
        </mc:AlternateContent>
      </w:r>
      <w:r>
        <w:rPr>
          <w:rFonts w:ascii="宋体" w:hAnsi="宋体"/>
          <w:color w:val="000000"/>
          <w:sz w:val="24"/>
          <w:szCs w:val="24"/>
        </w:rPr>
        <w:t>表</w:t>
      </w:r>
      <w:r>
        <w:rPr>
          <w:rFonts w:hint="eastAsia" w:ascii="宋体" w:hAnsi="宋体"/>
          <w:color w:val="000000"/>
          <w:sz w:val="24"/>
          <w:szCs w:val="24"/>
        </w:rPr>
        <w:t>2 人文社科类</w:t>
      </w:r>
      <w:r>
        <w:rPr>
          <w:rFonts w:ascii="宋体" w:hAnsi="宋体"/>
          <w:color w:val="000000"/>
          <w:sz w:val="24"/>
          <w:szCs w:val="24"/>
        </w:rPr>
        <w:t>研究生发表论文计分表</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rPr>
          <w:rFonts w:ascii="宋体" w:hAnsi="宋体"/>
          <w:b/>
          <w:color w:val="000000"/>
          <w:sz w:val="24"/>
          <w:szCs w:val="24"/>
        </w:rPr>
      </w:pPr>
      <w:r>
        <w:rPr>
          <w:rFonts w:hint="eastAsia" w:ascii="宋体" w:hAnsi="宋体"/>
          <w:b/>
          <w:color w:val="000000"/>
          <w:sz w:val="24"/>
          <w:szCs w:val="24"/>
        </w:rPr>
        <w:t>二、竞赛获奖</w:t>
      </w:r>
      <w:r>
        <w:rPr>
          <w:rFonts w:ascii="宋体" w:hAnsi="宋体"/>
          <w:b/>
          <w:color w:val="000000"/>
          <w:sz w:val="24"/>
          <w:szCs w:val="24"/>
        </w:rPr>
        <w:t>情况</w:t>
      </w:r>
      <w:r>
        <w:rPr>
          <w:rFonts w:hint="eastAsia" w:ascii="宋体" w:hAnsi="宋体"/>
          <w:b/>
          <w:color w:val="000000"/>
          <w:sz w:val="24"/>
          <w:szCs w:val="24"/>
        </w:rPr>
        <w:t>（占总分值30%）</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1.包括各类国内外举办的科学技术竞赛，创业大赛，设计竞赛以及各类专业比赛等。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 xml:space="preserve"> 按名次决定成绩的科技学术竞赛，第一名对应一等奖，第二名对应二等奖，第</w:t>
      </w:r>
      <w:r>
        <w:rPr>
          <w:rFonts w:hint="eastAsia" w:ascii="宋体" w:hAnsi="宋体"/>
          <w:color w:val="000000"/>
          <w:sz w:val="24"/>
          <w:szCs w:val="24"/>
        </w:rPr>
        <w:t>三名</w:t>
      </w:r>
      <w:r>
        <w:rPr>
          <w:rFonts w:ascii="宋体" w:hAnsi="宋体"/>
          <w:color w:val="000000"/>
          <w:sz w:val="24"/>
          <w:szCs w:val="24"/>
        </w:rPr>
        <w:t>对应三等奖</w:t>
      </w:r>
      <w:r>
        <w:rPr>
          <w:rFonts w:hint="eastAsia" w:ascii="宋体" w:hAnsi="宋体"/>
          <w:color w:val="000000"/>
          <w:sz w:val="24"/>
          <w:szCs w:val="24"/>
        </w:rPr>
        <w:t>，第四名及以后对应其他奖项</w:t>
      </w:r>
      <w:r>
        <w:rPr>
          <w:rFonts w:ascii="宋体"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3.如以团体名义参赛获奖的，团体内个人不分先后，均按照获奖等级加分。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4.参赛获奖个人或团体所属单位必须是北京林业大学。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rPr>
          <w:rFonts w:ascii="宋体" w:hAnsi="宋体"/>
          <w:color w:val="000000"/>
          <w:sz w:val="24"/>
          <w:szCs w:val="24"/>
        </w:rPr>
      </w:pPr>
      <w:r>
        <w:rPr>
          <w:rFonts w:ascii="宋体" w:hAnsi="宋体"/>
          <w:color w:val="000000"/>
          <w:sz w:val="24"/>
          <w:szCs w:val="24"/>
        </w:rPr>
        <w:t>表</w:t>
      </w:r>
      <w:r>
        <w:rPr>
          <w:rFonts w:hint="eastAsia" w:ascii="宋体" w:hAnsi="宋体"/>
          <w:color w:val="000000"/>
          <w:sz w:val="24"/>
          <w:szCs w:val="24"/>
        </w:rPr>
        <w:t>3人文社科类</w:t>
      </w:r>
      <w:r>
        <w:rPr>
          <w:rFonts w:ascii="宋体" w:hAnsi="宋体"/>
          <w:color w:val="000000"/>
          <w:sz w:val="24"/>
          <w:szCs w:val="24"/>
        </w:rPr>
        <w:t>研究生</w:t>
      </w:r>
      <w:r>
        <w:rPr>
          <w:rFonts w:hint="eastAsia" w:ascii="宋体" w:hAnsi="宋体"/>
          <w:color w:val="000000"/>
          <w:sz w:val="24"/>
          <w:szCs w:val="24"/>
        </w:rPr>
        <w:t>竞赛获奖</w:t>
      </w:r>
      <w:r>
        <w:rPr>
          <w:rFonts w:ascii="宋体" w:hAnsi="宋体"/>
          <w:color w:val="000000"/>
          <w:sz w:val="24"/>
          <w:szCs w:val="24"/>
        </w:rPr>
        <w:t>计分表</w:t>
      </w:r>
    </w:p>
    <w:tbl>
      <w:tblPr>
        <w:tblStyle w:val="4"/>
        <w:tblpPr w:leftFromText="180" w:rightFromText="180" w:vertAnchor="text" w:horzAnchor="margin" w:tblpXSpec="center" w:tblpY="176"/>
        <w:tblW w:w="8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418"/>
        <w:gridCol w:w="1417"/>
        <w:gridCol w:w="1276"/>
        <w:gridCol w:w="1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18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-5080</wp:posOffset>
                      </wp:positionV>
                      <wp:extent cx="1113790" cy="885825"/>
                      <wp:effectExtent l="0" t="0" r="10160" b="952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113790" cy="88582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5pt;margin-top:-0.4pt;height:69.75pt;width:87.7pt;z-index:251662336;mso-width-relative:page;mso-height-relative:page;" filled="f" stroked="t" coordsize="21600,21600" o:gfxdata="UEsDBAoAAAAAAIdO4kAAAAAAAAAAAAAAAAAEAAAAZHJzL1BLAwQUAAAACACHTuJAPLdi6dcAAAAJ&#10;AQAADwAAAGRycy9kb3ducmV2LnhtbE2PzU7DMBCE70i8g7VIXKrWTluVKsTpAciNCwXEdRsvSUS8&#10;TmP3B56e7Qlus5rR7HzF5ux7daQxdoEtZDMDirgOruPGwttrNV2DignZYR+YLHxThE15fVVg7sKJ&#10;X+i4TY2SEo45WmhTGnKtY92SxzgLA7F4n2H0mOQcG+1GPEm57/XcmJX22LF8aHGgh5bqr+3BW4jV&#10;O+2rn0k9MR+LJtB8//j8hNbe3mTmHlSic/oLw2W+TIdSNu3CgV1UvYVplglLEiEEF3+1XILaiVis&#10;70CXhf5PUP4CUEsDBBQAAAAIAIdO4kDXW7RV7QEAAL0DAAAOAAAAZHJzL2Uyb0RvYy54bWytU81u&#10;EzEQviPxDpbvZLOhgXSVTQ+JyqVApZYHmHi9WQvbY9lONnkJXgCJG5w49s7bUB6DsfMDLZce2IPl&#10;8cx8M983s9OLrdFsI31QaGteDoacSSuwUXZV8w+3ly8mnIUItgGNVtZ8JwO/mD1/Nu1dJUfYoW6k&#10;ZwRiQ9W7mncxuqooguikgTBAJy05W/QGIpl+VTQeekI3uhgNh6+KHn3jPAoZAr0u9k5+QPRPAcS2&#10;VUIuUKyNtHGP6qWGSJRCp1zgs9xt20oR37dtkJHpmhPTmE8qQvdlOovZFKqVB9cpcWgBntLCI04G&#10;lKWiJ6gFRGBrr/6BMkp4DNjGgUBT7IlkRYhFOXykzU0HTmYuJHVwJ9HD/4MV7zbXnqmm5mecWTA0&#10;8PvPdz8/ff314wud99+/sbMkUu9CRbFze+0TTbG1N+4KxcfALM47sCuZm73dOUIoU0bxICUZwVGp&#10;Zf8WG4qBdcSs2Lb1JkGSFmybB7M7DUZuIxP0WJbly9fnNDNBvslkPBmNcwmojtnOh/hGomHpUnOt&#10;bBIOKthchZi6geoYkp4tXiqt8/C1ZX3Nz8cEmTwBtWqSMxt+tZxrzzaQ1id/h7oPwjyubbMvom3K&#10;k3nzDpWP1PciLrHZXfujPjTV3NthA9Pa/G1nFf/8db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Ldi6dcAAAAJAQAADwAAAAAAAAABACAAAAAiAAAAZHJzL2Rvd25yZXYueG1sUEsBAhQAFAAAAAgA&#10;h07iQNdbtFXtAQAAvQMAAA4AAAAAAAAAAQAgAAAAJgEAAGRycy9lMm9Eb2MueG1sUEsFBgAAAAAG&#10;AAYAWQEAAIUFAAAAAA==&#10;">
                      <v:fill on="f" focussize="0,0"/>
                      <v:stroke color="#000000" joinstyle="round"/>
                      <v:imagedata o:title=""/>
                      <o:lock v:ext="edit" aspectratio="f"/>
                    </v:line>
                  </w:pict>
                </mc:Fallback>
              </mc:AlternateContent>
            </w:r>
            <w:r>
              <w:rPr>
                <w:rFonts w:hint="eastAsia" w:ascii="宋体" w:hAnsi="宋体"/>
                <w:color w:val="000000"/>
                <w:szCs w:val="21"/>
              </w:rPr>
              <w:t>竞赛级别</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3360" behindDoc="0" locked="0" layoutInCell="1" allowOverlap="1">
                      <wp:simplePos x="0" y="0"/>
                      <wp:positionH relativeFrom="column">
                        <wp:posOffset>1043940</wp:posOffset>
                      </wp:positionH>
                      <wp:positionV relativeFrom="paragraph">
                        <wp:posOffset>15875</wp:posOffset>
                      </wp:positionV>
                      <wp:extent cx="79375" cy="7937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9375" cy="79375"/>
                              </a:xfrm>
                              <a:prstGeom prst="rect">
                                <a:avLst/>
                              </a:prstGeom>
                              <a:noFill/>
                              <a:ln>
                                <a:noFill/>
                              </a:ln>
                              <a:effectLst/>
                            </wps:spPr>
                            <wps:txbx>
                              <w:txbxContent>
                                <w:p>
                                  <w:pPr>
                                    <w:snapToGrid w:val="0"/>
                                    <w:ind w:firstLine="48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2.2pt;margin-top:1.25pt;height:6.25pt;width:6.25pt;z-index:251663360;mso-width-relative:page;mso-height-relative:page;" filled="f" stroked="f" coordsize="21600,21600" o:gfxdata="UEsDBAoAAAAAAIdO4kAAAAAAAAAAAAAAAAAEAAAAZHJzL1BLAwQUAAAACACHTuJAU2TmmdcAAAAI&#10;AQAADwAAAGRycy9kb3ducmV2LnhtbE2PzU7DMBCE70i8g7VI3Kjdqg00xKkQghMSIg0Hjk68TazG&#10;6xC7P7w92xPcdjSj2W+KzdkP4ohTdIE0zGcKBFIbrKNOw2f9evcAIiZD1gyBUMMPRtiU11eFyW04&#10;UYXHbeoEl1DMjYY+pTGXMrY9ehNnYURibxcmbxLLqZN2Micu94NcKJVJbxzxh96M+Nxju98evIan&#10;L6pe3Pd781HtKlfXa0Vv2V7r25u5egSR8Jz+wnDBZ3QomakJB7JRDKyz5ZKjGhYrEBf/PluDaPhY&#10;KZBlIf8PKH8BUEsDBBQAAAAIAIdO4kAKXg34CwIAABAEAAAOAAAAZHJzL2Uyb0RvYy54bWytU8Fu&#10;EzEQvSPxD5bvZJNGULrKpiqNipAKVCp8gOP1Zi3WHjN2shs+AP6gJy7c+a58B2M7SUu59MDFGo9n&#10;nuc9P8/OB9OxjUKvwVZ8MhpzpqyEWttVxT9/unrxmjMfhK1FB1ZVfKs8P58/fzbrXalOoIWuVsgI&#10;xPqydxVvQ3BlUXjZKiP8CJyydNgAGhFoi6uiRtETuumKk/H4VdED1g5BKu8pu8iHfI+ITwGEptFS&#10;LUCujbIho6LqRCBKvtXO83matmmUDB+bxqvAuooT05BWuoTiZVyL+UyUKxSu1XI/gnjKCI84GaEt&#10;XXqEWogg2Br1P1BGSwQPTRhJMEUmkhQhFpPxI21uW+FU4kJSe3cU3f8/WPlhc4NM1xWfcmaFoQff&#10;3f3Y/fy9+/WdTaM8vfMlVd06qgvDGxjINImqd9cgv3hm4bIVdqUuEKFvlahpvEnsLB60ZhwfQZb9&#10;e6jpHrEOkICGBk3UjtRghE5Psz0+jRoCk5Q8PZuevuRM0kkOI74oD60OfXirwLAYVBzp3RO02Fz7&#10;kEsPJfEmC1e66ygvys7+lSDMnFHJPPvuSCTOnlmEYTlQb0wuod4SJYRsLPpWFLSA3zjryVQV91/X&#10;AhVn3TtLskQHHgI8BMtDIKyk1ooHznJ4GbJT1w71qiXkLLyFC5Ku0YnY/RR7wckoSZq9qaMTH+5T&#10;1f1Hnv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2TmmdcAAAAIAQAADwAAAAAAAAABACAAAAAi&#10;AAAAZHJzL2Rvd25yZXYueG1sUEsBAhQAFAAAAAgAh07iQApeDfgLAgAAEAQAAA4AAAAAAAAAAQAg&#10;AAAAJgEAAGRycy9lMm9Eb2MueG1sUEsFBgAAAAAGAAYAWQEAAKMFAAAAAA==&#10;">
                      <v:fill on="f" focussize="0,0"/>
                      <v:stroke on="f"/>
                      <v:imagedata o:title=""/>
                      <o:lock v:ext="edit" aspectratio="f"/>
                      <v:textbox inset="0mm,0mm,0mm,0mm">
                        <w:txbxContent>
                          <w:p>
                            <w:pPr>
                              <w:snapToGrid w:val="0"/>
                              <w:ind w:firstLine="480"/>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获奖等级</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国际级</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国家级</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省部级</w:t>
            </w:r>
          </w:p>
          <w:p>
            <w:pPr>
              <w:keepNext w:val="0"/>
              <w:keepLines w:val="0"/>
              <w:pageBreakBefore w:val="0"/>
              <w:widowControl w:val="0"/>
              <w:kinsoku/>
              <w:wordWrap/>
              <w:overflowPunct/>
              <w:topLinePunct w:val="0"/>
              <w:autoSpaceDE/>
              <w:autoSpaceDN/>
              <w:bidi w:val="0"/>
              <w:adjustRightInd/>
              <w:snapToGrid/>
              <w:spacing w:line="520" w:lineRule="exact"/>
              <w:jc w:val="left"/>
              <w:rPr>
                <w:rFonts w:ascii="宋体" w:hAnsi="宋体"/>
                <w:color w:val="000000"/>
                <w:szCs w:val="21"/>
              </w:rPr>
            </w:pPr>
            <w:r>
              <w:rPr>
                <w:rFonts w:hint="eastAsia" w:ascii="宋体" w:hAnsi="宋体"/>
                <w:color w:val="000000"/>
                <w:szCs w:val="21"/>
              </w:rPr>
              <w:t>（含直辖市）</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校级</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院级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一等奖</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100</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80</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40</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15</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二等奖</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80</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60</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30</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10</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三等奖</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50</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40</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20</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8</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其他奖项</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30</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20</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10</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6</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rPr>
          <w:rFonts w:ascii="宋体" w:hAnsi="宋体"/>
          <w:b/>
          <w:color w:val="000000"/>
          <w:sz w:val="24"/>
          <w:szCs w:val="24"/>
        </w:rPr>
      </w:pPr>
      <w:r>
        <w:rPr>
          <w:rFonts w:hint="eastAsia" w:ascii="宋体" w:hAnsi="宋体"/>
          <w:b/>
          <w:color w:val="000000"/>
          <w:sz w:val="24"/>
          <w:szCs w:val="24"/>
        </w:rPr>
        <w:t>三</w:t>
      </w:r>
      <w:r>
        <w:rPr>
          <w:rFonts w:ascii="宋体" w:hAnsi="宋体"/>
          <w:b/>
          <w:color w:val="000000"/>
          <w:sz w:val="24"/>
          <w:szCs w:val="24"/>
        </w:rPr>
        <w:t>、申请科研立项（占总分值的</w:t>
      </w:r>
      <w:r>
        <w:rPr>
          <w:rFonts w:hint="eastAsia" w:ascii="宋体" w:hAnsi="宋体"/>
          <w:b/>
          <w:color w:val="000000"/>
          <w:sz w:val="24"/>
          <w:szCs w:val="24"/>
        </w:rPr>
        <w:t>20</w:t>
      </w:r>
      <w:r>
        <w:rPr>
          <w:rFonts w:ascii="宋体" w:hAnsi="宋体"/>
          <w:b/>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.科研立项的主持人指申请科研立项的申请人必须为研究生本人，且申请单位必须为北京林业大学。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baseline"/>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.作为参与人参与的科研项目申请单位必须为北京林业大学。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baseline"/>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横向以及与事业单位合作课题均按照校级进行计分。</w:t>
      </w:r>
    </w:p>
    <w:p>
      <w:pPr>
        <w:keepNext w:val="0"/>
        <w:keepLines w:val="0"/>
        <w:pageBreakBefore w:val="0"/>
        <w:widowControl w:val="0"/>
        <w:kinsoku/>
        <w:wordWrap/>
        <w:overflowPunct/>
        <w:topLinePunct w:val="0"/>
        <w:autoSpaceDE/>
        <w:autoSpaceDN/>
        <w:bidi w:val="0"/>
        <w:adjustRightInd/>
        <w:snapToGrid/>
        <w:spacing w:line="520" w:lineRule="exact"/>
        <w:ind w:firstLine="120" w:firstLineChars="50"/>
        <w:jc w:val="center"/>
        <w:textAlignment w:val="baseline"/>
        <w:rPr>
          <w:rFonts w:ascii="宋体" w:hAnsi="宋体"/>
          <w:color w:val="000000"/>
          <w:sz w:val="24"/>
          <w:szCs w:val="24"/>
        </w:rPr>
      </w:pPr>
      <w:r>
        <w:rPr>
          <w:rFonts w:hint="eastAsia" w:ascii="宋体" w:hAnsi="宋体"/>
          <w:color w:val="000000"/>
          <w:sz w:val="24"/>
          <w:szCs w:val="24"/>
        </w:rPr>
        <w:t>表4 人文社科类</w:t>
      </w:r>
      <w:r>
        <w:rPr>
          <w:rFonts w:ascii="宋体" w:hAnsi="宋体"/>
          <w:color w:val="000000"/>
          <w:sz w:val="24"/>
          <w:szCs w:val="24"/>
        </w:rPr>
        <w:t>研究生</w:t>
      </w:r>
      <w:r>
        <w:rPr>
          <w:rFonts w:hint="eastAsia" w:ascii="宋体" w:hAnsi="宋体"/>
          <w:color w:val="000000"/>
          <w:sz w:val="24"/>
          <w:szCs w:val="24"/>
        </w:rPr>
        <w:t>科研立项计分表</w:t>
      </w:r>
    </w:p>
    <w:tbl>
      <w:tblPr>
        <w:tblStyle w:val="4"/>
        <w:tblpPr w:leftFromText="180" w:rightFromText="180" w:vertAnchor="text" w:horzAnchor="margin" w:tblpXSpec="center" w:tblpY="176"/>
        <w:tblW w:w="71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418"/>
        <w:gridCol w:w="1417"/>
        <w:gridCol w:w="1276"/>
        <w:gridCol w:w="1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18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72576" behindDoc="0" locked="0" layoutInCell="1" allowOverlap="1">
                      <wp:simplePos x="0" y="0"/>
                      <wp:positionH relativeFrom="column">
                        <wp:posOffset>-55245</wp:posOffset>
                      </wp:positionH>
                      <wp:positionV relativeFrom="paragraph">
                        <wp:posOffset>52070</wp:posOffset>
                      </wp:positionV>
                      <wp:extent cx="1099185" cy="801370"/>
                      <wp:effectExtent l="0" t="0" r="5715" b="177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099185" cy="80137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35pt;margin-top:4.1pt;height:63.1pt;width:86.55pt;z-index:251672576;mso-width-relative:page;mso-height-relative:page;" filled="f" stroked="t" coordsize="21600,21600" o:gfxdata="UEsDBAoAAAAAAIdO4kAAAAAAAAAAAAAAAAAEAAAAZHJzL1BLAwQUAAAACACHTuJA/TsFpdYAAAAI&#10;AQAADwAAAGRycy9kb3ducmV2LnhtbE2PvU7DQBCEeyTe4bRINFFyjhMllvE5BeCOhgCi3fg2toVv&#10;z/FdfuDp2VTQzWpGs98Um4vr1YnG0Hk2MJ8loIhrbztuDLy/VdMMVIjIFnvPZOCbAmzK25sCc+vP&#10;/EqnbWyUlHDI0UAb45BrHeqWHIaZH4jF2/vRYZRzbLQd8Szlrtdpkqy0w47lQ4sDPbZUf22PzkCo&#10;PuhQ/UzqSfK5aDylh6eXZzTm/m6ePICKdIl/YbjiCzqUwrTzR7ZB9Qam2VqSBrIU1NVeLZegdiIW&#10;InRZ6P8Dyl9QSwMEFAAAAAgAh07iQLDYCrvvAQAAvQMAAA4AAABkcnMvZTJvRG9jLnhtbK1TS44T&#10;MRDdI3EHy3vSHxRIWunMItGwGSDSDAdw3O60he2ybCfduQQXQGIHK5bs5zYMx6DsfObDZhb0wnK5&#10;ql7Ve1U9uxi0IjvhvART02KUUyIMh0aaTU0/3Vy+mlDiAzMNU2BETffC04v5yxez3laihA5UIxxB&#10;EOOr3ta0C8FWWeZ5JzTzI7DCoLMFp1lA022yxrEe0bXKyjx/k/XgGuuAC+/xdXlw0iOiew4gtK3k&#10;Ygl8q4UJB1QnFAtIyXfSejpP3bat4OFj23oRiKopMg3pxCJ4X8czm89YtXHMdpIfW2DPaeEJJ82k&#10;waJnqCULjGyd/AdKS+7AQxtGHHR2IJIUQRZF/kSb645Zkbig1N6eRff/D5Z/2K0ckU1NS0oM0zjw&#10;u6+/fn/5/uf2G553P3+QMorUW19h7MKsXKTJB3Ntr4B/9sTAomNmI1KzN3uLCEXMyB6lRMNbLLXu&#10;30ODMWwbICk2tE5HSNSCDGkw+/NgxBAIx8cin06LyZgSjr5JXrx+myaXseqUbZ0P7wRoEi81VdJE&#10;4VjFdlc+xG5YdQqJzwYupVJp+MqQvqbTcTlOCR6UbKIzhnm3WS+UIzsW1yd9iRp6HoY52JrmUESZ&#10;mCfS5h0rn6gfRFxDs1+5kz441dTbcQPj2jy0k4r3f938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07BaXWAAAACAEAAA8AAAAAAAAAAQAgAAAAIgAAAGRycy9kb3ducmV2LnhtbFBLAQIUABQAAAAI&#10;AIdO4kCw2Aq77wEAAL0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color w:val="000000"/>
                <w:szCs w:val="21"/>
              </w:rPr>
              <w:t>级别</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73600" behindDoc="0" locked="0" layoutInCell="1" allowOverlap="1">
                      <wp:simplePos x="0" y="0"/>
                      <wp:positionH relativeFrom="column">
                        <wp:posOffset>1043940</wp:posOffset>
                      </wp:positionH>
                      <wp:positionV relativeFrom="paragraph">
                        <wp:posOffset>15875</wp:posOffset>
                      </wp:positionV>
                      <wp:extent cx="79375" cy="7937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9375" cy="79375"/>
                              </a:xfrm>
                              <a:prstGeom prst="rect">
                                <a:avLst/>
                              </a:prstGeom>
                              <a:noFill/>
                              <a:ln>
                                <a:noFill/>
                              </a:ln>
                              <a:effectLst/>
                            </wps:spPr>
                            <wps:txbx>
                              <w:txbxContent>
                                <w:p>
                                  <w:pPr>
                                    <w:snapToGrid w:val="0"/>
                                    <w:ind w:firstLine="48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2.2pt;margin-top:1.25pt;height:6.25pt;width:6.25pt;z-index:251673600;mso-width-relative:page;mso-height-relative:page;" filled="f" stroked="f" coordsize="21600,21600" o:gfxdata="UEsDBAoAAAAAAIdO4kAAAAAAAAAAAAAAAAAEAAAAZHJzL1BLAwQUAAAACACHTuJAU2TmmdcAAAAI&#10;AQAADwAAAGRycy9kb3ducmV2LnhtbE2PzU7DMBCE70i8g7VI3Kjdqg00xKkQghMSIg0Hjk68TazG&#10;6xC7P7w92xPcdjSj2W+KzdkP4ohTdIE0zGcKBFIbrKNOw2f9evcAIiZD1gyBUMMPRtiU11eFyW04&#10;UYXHbeoEl1DMjYY+pTGXMrY9ehNnYURibxcmbxLLqZN2Micu94NcKJVJbxzxh96M+Nxju98evIan&#10;L6pe3Pd781HtKlfXa0Vv2V7r25u5egSR8Jz+wnDBZ3QomakJB7JRDKyz5ZKjGhYrEBf/PluDaPhY&#10;KZBlIf8PKH8BUEsDBBQAAAAIAIdO4kCPosH/CwIAABAEAAAOAAAAZHJzL2Uyb0RvYy54bWytU8Fu&#10;EzEQvSPxD5bvZJMiKF1lU5VGRUgFKhU+wPF6sxZrjxl7sxs+AP6gJy7c+a58B2M7CaVceuBije2Z&#10;53lvnufno+nYRqHXYCs+m0w5U1ZCre264p8+Xj17xZkPwtaiA6sqvlWeny+ePpkPrlQn0EJXK2QE&#10;Yn05uIq3IbiyKLxslRF+Ak5ZumwAjQi0xXVRoxgI3XTFyXT6shgAa4cglfd0usyXfI+IjwGEptFS&#10;LUH2RtmQUVF1IhAl32rn+SJ12zRKhg9N41VgXcWJaUgrPULxKq7FYi7KNQrXarlvQTymhQecjNCW&#10;Hj1CLUUQrEf9D5TREsFDEyYSTJGJJEWIxWz6QJvbVjiVuJDU3h1F9/8PVr7f3CDTNTmBMysMDXx3&#10;933349fu5zc2i/IMzpeUdesoL4yvYYypkap31yA/e2bhshV2rS4QYWiVqKm9VFncK804PoKshndQ&#10;0zuiD5CAxgZNBCQ1GKHTaLbH0agxMEmHp2fPT19wJukmh9RZIcpDqUMf3igwLAYVR5p7ghabax9y&#10;6iElvmThSnddmn1n/zogzHyiknn21ZFI7D2zCONq3AuzgnpLlBCysehbUdACfuVsIFNV3H/pBSrO&#10;ureWZIkOPAR4CFaHQFhJpRUPnOXwMmSn9g71uiXkLLyFC5Ku0YlYbC13QYLEDRklSbM3dXTi/X3K&#10;+vORF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2TmmdcAAAAIAQAADwAAAAAAAAABACAAAAAi&#10;AAAAZHJzL2Rvd25yZXYueG1sUEsBAhQAFAAAAAgAh07iQI+iwf8LAgAAEAQAAA4AAAAAAAAAAQAg&#10;AAAAJgEAAGRycy9lMm9Eb2MueG1sUEsFBgAAAAAGAAYAWQEAAKMFAAAAAA==&#10;">
                      <v:fill on="f" focussize="0,0"/>
                      <v:stroke on="f"/>
                      <v:imagedata o:title=""/>
                      <o:lock v:ext="edit" aspectratio="f"/>
                      <v:textbox inset="0mm,0mm,0mm,0mm">
                        <w:txbxContent>
                          <w:p>
                            <w:pPr>
                              <w:snapToGrid w:val="0"/>
                              <w:ind w:firstLine="480"/>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参与情况</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国家级</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省部级</w:t>
            </w:r>
          </w:p>
          <w:p>
            <w:pPr>
              <w:keepNext w:val="0"/>
              <w:keepLines w:val="0"/>
              <w:pageBreakBefore w:val="0"/>
              <w:widowControl w:val="0"/>
              <w:kinsoku/>
              <w:wordWrap/>
              <w:overflowPunct/>
              <w:topLinePunct w:val="0"/>
              <w:autoSpaceDE/>
              <w:autoSpaceDN/>
              <w:bidi w:val="0"/>
              <w:adjustRightInd/>
              <w:snapToGrid/>
              <w:spacing w:line="520" w:lineRule="exact"/>
              <w:jc w:val="left"/>
              <w:rPr>
                <w:rFonts w:ascii="宋体" w:hAnsi="宋体"/>
                <w:color w:val="000000"/>
                <w:szCs w:val="21"/>
              </w:rPr>
            </w:pPr>
            <w:r>
              <w:rPr>
                <w:rFonts w:hint="eastAsia" w:ascii="宋体" w:hAnsi="宋体"/>
                <w:color w:val="000000"/>
                <w:szCs w:val="21"/>
              </w:rPr>
              <w:t>（含直辖市）</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市级</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校级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主持人</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rFonts w:hint="eastAsia"/>
                <w:color w:val="000000"/>
                <w:szCs w:val="21"/>
              </w:rPr>
              <w:t>50</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40</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rFonts w:hint="eastAsia"/>
                <w:color w:val="000000"/>
                <w:szCs w:val="21"/>
              </w:rPr>
              <w:t>30</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rFonts w:hint="eastAsia"/>
                <w:color w:val="000000"/>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rFonts w:ascii="宋体" w:hAnsi="宋体"/>
                <w:color w:val="000000"/>
                <w:szCs w:val="21"/>
              </w:rPr>
            </w:pPr>
            <w:r>
              <w:rPr>
                <w:rFonts w:hint="eastAsia" w:ascii="宋体" w:hAnsi="宋体"/>
                <w:color w:val="000000"/>
                <w:szCs w:val="21"/>
              </w:rPr>
              <w:t>参与人</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rFonts w:hint="eastAsia"/>
                <w:color w:val="000000"/>
                <w:szCs w:val="21"/>
              </w:rPr>
              <w:t>30</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rFonts w:hint="eastAsia"/>
                <w:color w:val="000000"/>
                <w:szCs w:val="21"/>
              </w:rPr>
              <w:t>20</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color w:val="000000"/>
                <w:szCs w:val="21"/>
              </w:rPr>
              <w:t>10</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rPr>
                <w:color w:val="000000"/>
                <w:szCs w:val="21"/>
              </w:rPr>
            </w:pPr>
            <w:r>
              <w:rPr>
                <w:rFonts w:hint="eastAsia"/>
                <w:color w:val="000000"/>
                <w:szCs w:val="21"/>
              </w:rPr>
              <w:t>5</w:t>
            </w:r>
          </w:p>
        </w:tc>
      </w:tr>
    </w:tbl>
    <w:p>
      <w:pPr>
        <w:keepNext w:val="0"/>
        <w:keepLines w:val="0"/>
        <w:pageBreakBefore w:val="0"/>
        <w:widowControl w:val="0"/>
        <w:kinsoku/>
        <w:wordWrap/>
        <w:overflowPunct/>
        <w:topLinePunct w:val="0"/>
        <w:autoSpaceDE/>
        <w:autoSpaceDN/>
        <w:bidi w:val="0"/>
        <w:adjustRightInd/>
        <w:snapToGrid/>
        <w:spacing w:line="520" w:lineRule="exact"/>
      </w:pPr>
    </w:p>
    <w:p>
      <w:pPr>
        <w:keepNext w:val="0"/>
        <w:keepLines w:val="0"/>
        <w:pageBreakBefore w:val="0"/>
        <w:widowControl w:val="0"/>
        <w:kinsoku/>
        <w:wordWrap/>
        <w:overflowPunct/>
        <w:topLinePunct w:val="0"/>
        <w:autoSpaceDE/>
        <w:autoSpaceDN/>
        <w:bidi w:val="0"/>
        <w:adjustRightInd/>
        <w:snapToGrid/>
        <w:spacing w:line="520" w:lineRule="exact"/>
      </w:pPr>
    </w:p>
    <w:p>
      <w:pPr>
        <w:keepNext w:val="0"/>
        <w:keepLines w:val="0"/>
        <w:pageBreakBefore w:val="0"/>
        <w:widowControl w:val="0"/>
        <w:kinsoku/>
        <w:wordWrap/>
        <w:overflowPunct/>
        <w:topLinePunct w:val="0"/>
        <w:autoSpaceDE/>
        <w:autoSpaceDN/>
        <w:bidi w:val="0"/>
        <w:adjustRightInd/>
        <w:snapToGrid/>
        <w:spacing w:line="520" w:lineRule="exact"/>
      </w:pPr>
    </w:p>
    <w:p>
      <w:pPr>
        <w:keepNext w:val="0"/>
        <w:keepLines w:val="0"/>
        <w:pageBreakBefore w:val="0"/>
        <w:widowControl w:val="0"/>
        <w:kinsoku/>
        <w:wordWrap/>
        <w:overflowPunct/>
        <w:topLinePunct w:val="0"/>
        <w:autoSpaceDE/>
        <w:autoSpaceDN/>
        <w:bidi w:val="0"/>
        <w:adjustRightInd/>
        <w:snapToGrid/>
        <w:spacing w:line="520" w:lineRule="exact"/>
      </w:pPr>
    </w:p>
    <w:p>
      <w:pPr>
        <w:keepNext w:val="0"/>
        <w:keepLines w:val="0"/>
        <w:pageBreakBefore w:val="0"/>
        <w:widowControl w:val="0"/>
        <w:kinsoku/>
        <w:wordWrap/>
        <w:overflowPunct/>
        <w:topLinePunct w:val="0"/>
        <w:autoSpaceDE/>
        <w:autoSpaceDN/>
        <w:bidi w:val="0"/>
        <w:adjustRightInd/>
        <w:snapToGrid/>
        <w:spacing w:line="520" w:lineRule="exact"/>
      </w:pPr>
    </w:p>
    <w:p>
      <w:pPr>
        <w:keepNext w:val="0"/>
        <w:keepLines w:val="0"/>
        <w:pageBreakBefore w:val="0"/>
        <w:widowControl w:val="0"/>
        <w:kinsoku/>
        <w:wordWrap/>
        <w:overflowPunct/>
        <w:topLinePunct w:val="0"/>
        <w:autoSpaceDE/>
        <w:autoSpaceDN/>
        <w:bidi w:val="0"/>
        <w:adjustRightInd/>
        <w:snapToGrid/>
        <w:spacing w:line="520" w:lineRule="exact"/>
      </w:pPr>
    </w:p>
    <w:p>
      <w:pPr>
        <w:keepNext w:val="0"/>
        <w:keepLines w:val="0"/>
        <w:pageBreakBefore w:val="0"/>
        <w:widowControl w:val="0"/>
        <w:kinsoku/>
        <w:wordWrap/>
        <w:overflowPunct/>
        <w:topLinePunct w:val="0"/>
        <w:autoSpaceDE/>
        <w:autoSpaceDN/>
        <w:bidi w:val="0"/>
        <w:adjustRightInd/>
        <w:snapToGrid/>
        <w:spacing w:line="520" w:lineRule="exact"/>
      </w:pPr>
    </w:p>
    <w:p>
      <w:pPr>
        <w:keepNext w:val="0"/>
        <w:keepLines w:val="0"/>
        <w:pageBreakBefore w:val="0"/>
        <w:widowControl w:val="0"/>
        <w:kinsoku/>
        <w:wordWrap/>
        <w:overflowPunct/>
        <w:topLinePunct w:val="0"/>
        <w:autoSpaceDE/>
        <w:autoSpaceDN/>
        <w:bidi w:val="0"/>
        <w:adjustRightInd/>
        <w:snapToGrid/>
        <w:spacing w:line="520" w:lineRule="exact"/>
      </w:pPr>
    </w:p>
    <w:p>
      <w:pPr>
        <w:keepNext w:val="0"/>
        <w:keepLines w:val="0"/>
        <w:pageBreakBefore w:val="0"/>
        <w:widowControl w:val="0"/>
        <w:kinsoku/>
        <w:wordWrap/>
        <w:overflowPunct/>
        <w:topLinePunct w:val="0"/>
        <w:autoSpaceDE/>
        <w:autoSpaceDN/>
        <w:bidi w:val="0"/>
        <w:adjustRightInd/>
        <w:snapToGrid/>
        <w:spacing w:line="520" w:lineRule="exact"/>
      </w:pPr>
    </w:p>
    <w:p>
      <w:pPr>
        <w:keepNext w:val="0"/>
        <w:keepLines w:val="0"/>
        <w:pageBreakBefore w:val="0"/>
        <w:widowControl w:val="0"/>
        <w:kinsoku/>
        <w:wordWrap/>
        <w:overflowPunct/>
        <w:topLinePunct w:val="0"/>
        <w:autoSpaceDE/>
        <w:autoSpaceDN/>
        <w:bidi w:val="0"/>
        <w:adjustRightInd/>
        <w:snapToGrid/>
        <w:spacing w:line="5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10</w:t>
    </w:r>
    <w:r>
      <w:rPr>
        <w:lang w:val="zh-CN"/>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15</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41F4C"/>
    <w:multiLevelType w:val="multilevel"/>
    <w:tmpl w:val="76241F4C"/>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593"/>
    <w:rsid w:val="000100C3"/>
    <w:rsid w:val="00011716"/>
    <w:rsid w:val="00014024"/>
    <w:rsid w:val="00050E96"/>
    <w:rsid w:val="00060C1A"/>
    <w:rsid w:val="00066DCA"/>
    <w:rsid w:val="000A311C"/>
    <w:rsid w:val="000B5D98"/>
    <w:rsid w:val="000B7465"/>
    <w:rsid w:val="000C212D"/>
    <w:rsid w:val="00124427"/>
    <w:rsid w:val="001936E0"/>
    <w:rsid w:val="001A15F3"/>
    <w:rsid w:val="001D51EC"/>
    <w:rsid w:val="001D56E9"/>
    <w:rsid w:val="001F06AC"/>
    <w:rsid w:val="00224D24"/>
    <w:rsid w:val="00232B1F"/>
    <w:rsid w:val="00243847"/>
    <w:rsid w:val="002548D1"/>
    <w:rsid w:val="00266D52"/>
    <w:rsid w:val="00274F07"/>
    <w:rsid w:val="00280929"/>
    <w:rsid w:val="002810BD"/>
    <w:rsid w:val="00291E26"/>
    <w:rsid w:val="002A2C5A"/>
    <w:rsid w:val="002A62C4"/>
    <w:rsid w:val="002B2424"/>
    <w:rsid w:val="002D7A1C"/>
    <w:rsid w:val="002E0B41"/>
    <w:rsid w:val="00342E26"/>
    <w:rsid w:val="00351FCA"/>
    <w:rsid w:val="00353A98"/>
    <w:rsid w:val="003A280A"/>
    <w:rsid w:val="00402CBF"/>
    <w:rsid w:val="00433973"/>
    <w:rsid w:val="00462B6C"/>
    <w:rsid w:val="0046345F"/>
    <w:rsid w:val="00482DA6"/>
    <w:rsid w:val="00486DFE"/>
    <w:rsid w:val="00491D44"/>
    <w:rsid w:val="004B47E4"/>
    <w:rsid w:val="004C1594"/>
    <w:rsid w:val="004E2713"/>
    <w:rsid w:val="004E6FDB"/>
    <w:rsid w:val="00504DBB"/>
    <w:rsid w:val="00520487"/>
    <w:rsid w:val="0054592B"/>
    <w:rsid w:val="005705B1"/>
    <w:rsid w:val="0059336C"/>
    <w:rsid w:val="005B1304"/>
    <w:rsid w:val="005B7A53"/>
    <w:rsid w:val="005D3333"/>
    <w:rsid w:val="005E5BA9"/>
    <w:rsid w:val="00615856"/>
    <w:rsid w:val="0063368E"/>
    <w:rsid w:val="006400B5"/>
    <w:rsid w:val="00651AC8"/>
    <w:rsid w:val="00652822"/>
    <w:rsid w:val="00656902"/>
    <w:rsid w:val="00662BA8"/>
    <w:rsid w:val="006D0611"/>
    <w:rsid w:val="006D2598"/>
    <w:rsid w:val="006E0473"/>
    <w:rsid w:val="006E1359"/>
    <w:rsid w:val="006F36EF"/>
    <w:rsid w:val="0074120E"/>
    <w:rsid w:val="00743146"/>
    <w:rsid w:val="00766384"/>
    <w:rsid w:val="00787B26"/>
    <w:rsid w:val="00793568"/>
    <w:rsid w:val="007B36EF"/>
    <w:rsid w:val="007C7D18"/>
    <w:rsid w:val="007D3DE9"/>
    <w:rsid w:val="007D67D3"/>
    <w:rsid w:val="00820489"/>
    <w:rsid w:val="00820812"/>
    <w:rsid w:val="008344E3"/>
    <w:rsid w:val="008810B3"/>
    <w:rsid w:val="008940C3"/>
    <w:rsid w:val="008A4159"/>
    <w:rsid w:val="008D4C7D"/>
    <w:rsid w:val="008D6BB7"/>
    <w:rsid w:val="009200FA"/>
    <w:rsid w:val="00936592"/>
    <w:rsid w:val="0095202C"/>
    <w:rsid w:val="009649E6"/>
    <w:rsid w:val="00992317"/>
    <w:rsid w:val="009A15E0"/>
    <w:rsid w:val="009A51B1"/>
    <w:rsid w:val="009F1443"/>
    <w:rsid w:val="009F693C"/>
    <w:rsid w:val="009F7609"/>
    <w:rsid w:val="00A16593"/>
    <w:rsid w:val="00A35929"/>
    <w:rsid w:val="00A3608B"/>
    <w:rsid w:val="00A4205C"/>
    <w:rsid w:val="00A53029"/>
    <w:rsid w:val="00A55864"/>
    <w:rsid w:val="00AA4392"/>
    <w:rsid w:val="00AC5449"/>
    <w:rsid w:val="00B260CE"/>
    <w:rsid w:val="00B6445A"/>
    <w:rsid w:val="00B80591"/>
    <w:rsid w:val="00BA096D"/>
    <w:rsid w:val="00BA13C6"/>
    <w:rsid w:val="00BA1A1B"/>
    <w:rsid w:val="00BA204F"/>
    <w:rsid w:val="00BE59C6"/>
    <w:rsid w:val="00C10757"/>
    <w:rsid w:val="00C357D5"/>
    <w:rsid w:val="00C44C44"/>
    <w:rsid w:val="00CA6657"/>
    <w:rsid w:val="00CA6B1C"/>
    <w:rsid w:val="00CD24AC"/>
    <w:rsid w:val="00CD7279"/>
    <w:rsid w:val="00CE18E3"/>
    <w:rsid w:val="00CE301E"/>
    <w:rsid w:val="00D07B65"/>
    <w:rsid w:val="00D17888"/>
    <w:rsid w:val="00D72B7E"/>
    <w:rsid w:val="00D73876"/>
    <w:rsid w:val="00D81ABA"/>
    <w:rsid w:val="00D85097"/>
    <w:rsid w:val="00D9289F"/>
    <w:rsid w:val="00DB2506"/>
    <w:rsid w:val="00DC1A90"/>
    <w:rsid w:val="00DC1F73"/>
    <w:rsid w:val="00DC2C0A"/>
    <w:rsid w:val="00DC6E09"/>
    <w:rsid w:val="00DE36E1"/>
    <w:rsid w:val="00DF1C52"/>
    <w:rsid w:val="00E127E0"/>
    <w:rsid w:val="00E31A2E"/>
    <w:rsid w:val="00E36BA1"/>
    <w:rsid w:val="00E45E60"/>
    <w:rsid w:val="00E52897"/>
    <w:rsid w:val="00E56560"/>
    <w:rsid w:val="00E62AC1"/>
    <w:rsid w:val="00E92053"/>
    <w:rsid w:val="00EA3BB4"/>
    <w:rsid w:val="00EA42F3"/>
    <w:rsid w:val="00ED189B"/>
    <w:rsid w:val="00EF04BB"/>
    <w:rsid w:val="00EF5B16"/>
    <w:rsid w:val="00F1423F"/>
    <w:rsid w:val="00F148C0"/>
    <w:rsid w:val="00F15B69"/>
    <w:rsid w:val="00F571B5"/>
    <w:rsid w:val="00F60229"/>
    <w:rsid w:val="00F7172A"/>
    <w:rsid w:val="00FB65A9"/>
    <w:rsid w:val="00FD2702"/>
    <w:rsid w:val="00FD57BB"/>
    <w:rsid w:val="00FD688D"/>
    <w:rsid w:val="00FE32BB"/>
    <w:rsid w:val="00FE6969"/>
    <w:rsid w:val="00FF0E29"/>
    <w:rsid w:val="03B40E40"/>
    <w:rsid w:val="055B4134"/>
    <w:rsid w:val="0E0175F6"/>
    <w:rsid w:val="28E92F15"/>
    <w:rsid w:val="29297B90"/>
    <w:rsid w:val="2A5E2AA9"/>
    <w:rsid w:val="30531E2D"/>
    <w:rsid w:val="349C6B4E"/>
    <w:rsid w:val="3E0F6DA4"/>
    <w:rsid w:val="3E9451E3"/>
    <w:rsid w:val="43356C8F"/>
    <w:rsid w:val="4C300378"/>
    <w:rsid w:val="4C927230"/>
    <w:rsid w:val="4F6753FD"/>
    <w:rsid w:val="4F870170"/>
    <w:rsid w:val="50E87E7C"/>
    <w:rsid w:val="51D75F94"/>
    <w:rsid w:val="58A9336B"/>
    <w:rsid w:val="5B1E703B"/>
    <w:rsid w:val="5B793B62"/>
    <w:rsid w:val="5E827855"/>
    <w:rsid w:val="602668A0"/>
    <w:rsid w:val="746F0E9A"/>
    <w:rsid w:val="76771525"/>
    <w:rsid w:val="7C826E2B"/>
    <w:rsid w:val="7DCA46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列出段落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1215</Words>
  <Characters>6929</Characters>
  <Lines>57</Lines>
  <Paragraphs>16</Paragraphs>
  <TotalTime>0</TotalTime>
  <ScaleCrop>false</ScaleCrop>
  <LinksUpToDate>false</LinksUpToDate>
  <CharactersWithSpaces>8128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2019-10-14T03:12:00Z</dcterms:created>
  <dc:creator>ningligis</dc:creator>
  <cp:lastModifiedBy>王芍药 </cp:lastModifiedBy>
  <dcterms:modified xsi:type="dcterms:W3CDTF">2020-10-15T10:46:45Z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